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A8" w:rsidRPr="005B73A8" w:rsidRDefault="005B73A8" w:rsidP="005B73A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A8">
        <w:rPr>
          <w:rFonts w:ascii="Times New Roman" w:hAnsi="Times New Roman" w:cs="Times New Roman"/>
          <w:b/>
          <w:sz w:val="28"/>
          <w:szCs w:val="28"/>
        </w:rPr>
        <w:t>(07.02.22 – 11.02.22)</w:t>
      </w:r>
    </w:p>
    <w:p w:rsidR="005B73A8" w:rsidRPr="005B73A8" w:rsidRDefault="00427628" w:rsidP="005B73A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5B73A8" w:rsidRPr="005B73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73A8" w:rsidRPr="005B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Материнский капитал</w:t>
      </w:r>
    </w:p>
    <w:p w:rsidR="005B73A8" w:rsidRPr="005B73A8" w:rsidRDefault="005B73A8" w:rsidP="00076E6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2812">
        <w:fldChar w:fldCharType="begin"/>
      </w:r>
      <w:r w:rsidR="00332812">
        <w:instrText>HYPERLINK "http://base.garant.ru/10103000/"</w:instrText>
      </w:r>
      <w:r w:rsidR="00332812">
        <w:fldChar w:fldCharType="separate"/>
      </w:r>
      <w:r w:rsidRPr="005B7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Конституция Российской Федерации</w:t>
      </w:r>
      <w:r w:rsidR="00332812">
        <w:fldChar w:fldCharType="end"/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гарантирует каждому гражданину с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циальное обеспечение, в том числе для воспитания детей (</w:t>
      </w:r>
      <w:hyperlink r:id="rId5" w:anchor="block_3901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1 ст. 39 Конст</w:t>
        </w:r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</w:t>
        </w:r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туции РФ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Одной из ключевых мер такого обеспечения является матери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капитал, нацеленный на создание условий, обеспечивающих семьям с детьми достойную жизнь. По данным Минтруда России, с момента введения этой дополнительной меры господдержки – с 1 января 2007 года – выдано 11,6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сертификатов на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необходимость поддержания семей, имеющих детей, указывается в бол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шинстве государственных программ социальной направленности, упоминается об этом и на каждом совещании или заседании федеральных властей по теме социал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политики. Поэтому неудивительно, что периодически законодатель вносит п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 в порядок назначения материнского капитала и распоряжения соответс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вующими средствами, совершенствуя процедурные моменты, корректируя условия, критерии и в целом упрощая процесс реализации гражданами права на получение и использование материнского капитала.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стал исключением и 2022 год – через несколько дней произойдет важное изменение, связанное с размером материнского капитала. Но обо всем по порядку.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1"/>
      <w:bookmarkEnd w:id="0"/>
      <w:r w:rsidRPr="005B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материнский капитал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2006 г. № 256-ФЗ "</w:t>
      </w:r>
      <w:hyperlink r:id="rId6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 дополнительных м</w:t>
        </w:r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</w:t>
        </w:r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рах государственной поддержки семей, имеющих детей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– Закон № 256-ФЗ) предоставляет право на получение материнского капитала нескольким категориям граждан:</w:t>
      </w:r>
    </w:p>
    <w:p w:rsidR="005B73A8" w:rsidRPr="005B73A8" w:rsidRDefault="005B73A8" w:rsidP="005B73A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женщинам, родившим (усыновившим) второго ребенка начиная с 1 я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 2007 года;</w:t>
      </w:r>
    </w:p>
    <w:p w:rsidR="005B73A8" w:rsidRPr="005B73A8" w:rsidRDefault="005B73A8" w:rsidP="005B73A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женщинам, родившим (усыновившим) третьего ребенка или последу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детей начиная с 1 января 2007 года, если ранее они не воспользовались правом на получение материнского капитала;</w:t>
      </w:r>
    </w:p>
    <w:p w:rsidR="005B73A8" w:rsidRPr="005B73A8" w:rsidRDefault="005B73A8" w:rsidP="005B73A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мужчинам – единственным усыновителям второго, третьего ребенка или последующих детей, ранее не воспользовавшимся правом на дополнительные меры господдержки, если решение суда об усыновлении вступило в законную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 1 января 2007 года;</w:t>
      </w:r>
    </w:p>
    <w:p w:rsidR="005B73A8" w:rsidRPr="005B73A8" w:rsidRDefault="005B73A8" w:rsidP="005B73A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женщинам, родившим (усыновившим) первого ребенка начиная с 1 я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 2020 года;</w:t>
      </w:r>
    </w:p>
    <w:p w:rsidR="005B73A8" w:rsidRPr="005B73A8" w:rsidRDefault="005B73A8" w:rsidP="005B73A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мужчинам, являющимся единственными усыновителями первого ребе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ранее не воспользовавшимся правом на дополнительные меры господдержки, 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решение суда об усыновлении вступило в силу с 1 января 2020 года (</w:t>
      </w:r>
      <w:hyperlink r:id="rId7" w:anchor="block_31" w:history="1">
        <w:proofErr w:type="gramStart"/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1 ст. ст. 3 Закона № 256-ФЗ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54A7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право возникает при рождении или усыновлении ребенка, имеющего гражданство РФ, независимо от места жительства получателя поддержки. При этом не учитываются дети, в отношении которых лицо, претендующее на получение м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теринского капитала, было лишено родительских прав</w:t>
      </w:r>
      <w:r w:rsidR="003554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отношении которых было отменено усыновление. 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берутся в расчет и усыновленные пасынки или падчерицы потенциальных получателей поддержки (</w:t>
      </w:r>
      <w:hyperlink r:id="rId8" w:anchor="block_32" w:history="1">
        <w:proofErr w:type="gramStart"/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2 ст. 3 Закона № 256-ФЗ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54A7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в случае смерти матери или объявления ее умершей, лишения или ограничения родительских прав, в том числе из-за совершения в отн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ребенка умышленного преступления против личности, а также отмены ус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право матери на материнский капитал прекращается.</w:t>
      </w:r>
    </w:p>
    <w:p w:rsidR="003554A7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переходит к отцу или усыновителю ребенка независимо от нал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 российского гражданства или статуса лица без гражданства, но тоже с некот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рыми оговорками – если это лицо не является отчимом в отношении предыдущего ребенка, очередность рождения или усыновления которого была учтена при возни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новении права на меру поддержки, а ребенок после смерти матери не признан 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тавшимся без попечения родителей. </w:t>
      </w:r>
      <w:proofErr w:type="gramEnd"/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право отца ребенка на материнский капитал является прои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водным от права матери, то есть оно может возникнуть, если такое право имела женщина. Если же мать не соответствует критериям, необходимым для получения 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права на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получить его не сможет и отец (</w:t>
      </w:r>
      <w:hyperlink r:id="rId9" w:anchor="p_28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1 Обзора судебной пра</w:t>
        </w:r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</w:t>
        </w:r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тики по делам, связанным с реализацией права на материнский (семейный) капитал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утв. Президиумом Верховного Суда Российской Федерации 22 июня 2016 года; д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Обзор).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отцы или усыновители могут быть лишены права на матери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капитал по тем же основаниям, что и матери и усыновительницы – в таком случае это право возникает у несовершеннолетнего ребенка (детей в равных долях) или у совершеннолетнего ребенка, обучающегося по очной форме обучения в обр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организации до окончания такого обучения, но не дольше чем до до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тижения возраста 23 лет (</w:t>
      </w:r>
      <w:hyperlink r:id="rId10" w:anchor="block_33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. </w:t>
        </w:r>
        <w:proofErr w:type="gramStart"/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3-4 ст. 3 Закона № 256-ФЗ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правилу, право на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со дня рождения (ус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новления) первого, второго, третьего ребенка или последующих детей независимо от периода времени, прошедшего </w:t>
      </w:r>
      <w:proofErr w:type="gram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рождения</w:t>
      </w:r>
      <w:proofErr w:type="gram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(усыновления) предыдущего р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или детей. Но нужно учитывать, что юридически значимым для приобретения такого права считается рождение ребенка живым. Поскольку именно детям в пе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очередь адресованы защита и забота со стороны государства, то при рождении ребенка мертвым, оснований для приобретения права на дополнительные меры г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поддержки не возникает (</w:t>
      </w:r>
      <w:hyperlink r:id="rId11" w:anchor="p_43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2 Обзора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ведет строгий учет лиц, имеющих право на получение матери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капитала, через курируемый ПФР и его территориальными органами фед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ральный регистр таких лиц.</w:t>
      </w:r>
    </w:p>
    <w:p w:rsidR="005B73A8" w:rsidRDefault="005B73A8" w:rsidP="003554A7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1" w:name="2"/>
      <w:bookmarkEnd w:id="1"/>
      <w:r w:rsidRPr="005B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получения сертификата на материнский капитал</w:t>
      </w:r>
    </w:p>
    <w:p w:rsidR="003554A7" w:rsidRPr="005B73A8" w:rsidRDefault="003554A7" w:rsidP="003554A7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законодательство </w:t>
      </w:r>
      <w:hyperlink r:id="rId12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предусматривает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два основных механизма получения государственного сертификата на материнский капитал – в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заявительном порядке. Первый актуален для тех, у кого право на материнский капитал возникло после 15 апреля 2020 года – именно тогда был введен упроще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проактивный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принятия решения о выдаче государственного сертиф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ката на материнский (семейный) капитал или об отказе в этом, а второй – для всех остальных.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его принятия служат сведения о рождении (усыновлении) ребенка, поступившие из федеральной государственной информационной системы "Единый государственный реестр записи актов гражданского состояния", а срок с 1 января 2021 года составляет всего 5 дней со дня поступления необходимых данных. А если для этого потребуются дополнительные документы или сведения, то терр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ториальный орган ПФР сам запросит их в уполномоченных органах власти и подв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домственных им организациях, в распоряжении которых они имеются. </w:t>
      </w:r>
      <w:proofErr w:type="gram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об органах ЗАГС, органах опеки и попечительства, территориальных органах МВД России и ФСС России, а также судебных органах (</w:t>
      </w:r>
      <w:hyperlink r:id="rId13" w:anchor="p_10136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14.1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anchor="p_261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60 Административного регламента предоставления Пенсионным фондом Российской Федерации и его те</w:t>
        </w:r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</w:t>
        </w:r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риториальными органами государственной услуги по выдаче государственного се</w:t>
        </w:r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</w:t>
        </w:r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тификата на материнский (семейный) капитал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утв. </w:t>
      </w:r>
      <w:hyperlink r:id="rId15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Правления ПФР от 31 мая 2019 г. № 312п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– Административный регламент).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положительного решения о выдаче сертификата на мат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ринский капитал оно вместе с сертификатом в форме электронного документа будет направлено в личный кабинет на портале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правило, это происходит в течение 15 дней после регистрации рождения (</w:t>
      </w:r>
      <w:hyperlink r:id="rId16" w:anchor="block_53" w:history="1">
        <w:proofErr w:type="gramStart"/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3 ст. 5 Закона № 256-ФЗ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Кроме того, узнать о предоставлении материнского капитала можно, запросив выписку из федерального регистра путем направления по почте или через МФЦ запроса в ПФР или его территориальное подразделение.</w:t>
      </w:r>
    </w:p>
    <w:p w:rsidR="003554A7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если по каким-то причинам (например, у матери не оформлен СНИЛС, либо ПФР не смог собрать по системе межведомственного взаимодействия весь комплект документов и сведений, необходимых для принятия решения) серт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фикат не был оформлен в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а </w:t>
      </w:r>
      <w:proofErr w:type="gram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на матери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капитал возникло до 15 апреля 2020 года, придется подать заявление на пол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сертификата. Это можно сделать, лично обратившись в ПФР, в его территор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орган независимо от места жительства или пребывания или через МФЦ в 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любое время после возникновения права на дополнительную меру господдержки (</w:t>
      </w:r>
      <w:hyperlink r:id="rId17" w:anchor="block_51" w:history="1">
        <w:proofErr w:type="gramStart"/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1 ст. 5 Закона № 256-ФЗ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anchor="p_238" w:history="1">
        <w:proofErr w:type="gramStart"/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51 Административного регламента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допускает также возможность н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заявления и документов по почте (в этом случае подпись заявителя должна быть заверена нотариально) или в форме электронного документа (через единый портал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личный кабинет застрахованного лица на сайте ПФР), а </w:t>
      </w:r>
      <w:hyperlink r:id="rId19" w:anchor="p_221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46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организацию территориальным органом ПФР выездного приема граждан должностным лицом для приема заявления и его регистрации по месту проживания</w:t>
      </w:r>
      <w:proofErr w:type="gram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который по состоянию здоровья не может посетить ПФР. Уточнено, что прием, регистрация заявления и оценка представленных документов не должны з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 более 15 минут (</w:t>
      </w:r>
      <w:hyperlink r:id="rId20" w:anchor="p_142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37 Административного регламента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закону сертификат </w:t>
      </w:r>
      <w:r w:rsidRPr="00355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выдадут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5B73A8" w:rsidRPr="005B73A8" w:rsidRDefault="005B73A8" w:rsidP="005B73A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право на получение соответствующей меры господдержки;</w:t>
      </w:r>
    </w:p>
    <w:p w:rsidR="005B73A8" w:rsidRPr="005B73A8" w:rsidRDefault="005B73A8" w:rsidP="005B73A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право прекращено в связи с использованием средств материнского капитала в полном объеме ранее;</w:t>
      </w:r>
    </w:p>
    <w:p w:rsidR="005B73A8" w:rsidRPr="005B73A8" w:rsidRDefault="005B73A8" w:rsidP="005B73A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материнский капитал прекращено в связи со смертью лица, к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торому предоставлено такое право, объявления его умершим, лишения родител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прав, совершения в отношении ребенка умышленного преступления, относ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к преступлениям против личности и повлекшего за собой лишение или огр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ничение родительских прав, отмены усыновления ребенка;</w:t>
      </w:r>
      <w:proofErr w:type="gramEnd"/>
    </w:p>
    <w:p w:rsidR="005B73A8" w:rsidRPr="005B73A8" w:rsidRDefault="005B73A8" w:rsidP="005B73A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недостоверные сведения, в том числе сведения об очере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рождения (усыновления) или о гражданстве ребенка – кстати, заявитель несет ответственность за достоверность сведений, содержащихся в представляемых им документах (</w:t>
      </w:r>
      <w:hyperlink r:id="rId21" w:history="1">
        <w:proofErr w:type="gramStart"/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6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anchor="block_58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8 ст. 5 Закона № 256-ФЗ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 заявителя есть право обжаловать решение об отказе в удовлетв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рении заявления о выдаче сертификата в вышестоящий орган ПФР или в суд (</w:t>
      </w:r>
      <w:hyperlink r:id="rId23" w:anchor="block_57" w:history="1">
        <w:proofErr w:type="gramStart"/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7 ст. 5 Закона № 256-ФЗ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порядок подачи заявления на получение государственного серт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фиката на материнский капитал является общим для всех категорий получателей – будь то мать, отец или ребенок и его законные представители. Но в отношении </w:t>
      </w:r>
      <w:proofErr w:type="gram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следних</w:t>
      </w:r>
      <w:proofErr w:type="gram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важная оговорка – по достижении ребенком совершеннолетия либо по приобретении им дееспособности в полном объеме до этого законные представ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должны передать сертификат ребенку (</w:t>
      </w:r>
      <w:hyperlink r:id="rId24" w:anchor="block_59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9-10 ст. 5 Закона № 256-ФЗ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54A7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сертификат на материнский капитал оформляется в фо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электронного документа, подписанного усиленной квалифицированной эле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подписью уполномоченного должностного лица территориального органа ПФР.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необходимости получатель сертификата может запросить его и на бумажном носителе, либо получить выписку из федерального регистра о выдаче сертификата (</w:t>
      </w:r>
      <w:hyperlink r:id="rId25" w:anchor="p_19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2-3 Правил подачи заявления о выдаче государственного сертиф</w:t>
        </w:r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</w:t>
        </w:r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ката на материнский (семейный) капитал и выдачи государственного сертификата на материнский (семейный) капитал (его дубликата)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утв. </w:t>
      </w:r>
      <w:hyperlink r:id="rId26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 Минтруда России от 18 марта 2020 г. № 138н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– Правила).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знать, что в случае изменения Ф. И. О. владельца сертификата или данных паспорта можно обратиться в территориальный орган ПФР для внесения с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ответствующих корректировок в федеральный регистр – при условии, что соотве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ствующие изменения подтверждены документально. Не стоит переживать и в случае утраты или порчи сертификата – в территориальном органе ПФР можно запросить его дубликат, но такая опция доступна только самому получателю сертификата, его законному представителю или доверенному лицу (</w:t>
      </w:r>
      <w:hyperlink r:id="rId27" w:anchor="p_139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17-18 Правил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73A8" w:rsidRPr="005B73A8" w:rsidRDefault="005B73A8" w:rsidP="003554A7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2" w:name="3"/>
      <w:bookmarkEnd w:id="2"/>
      <w:r w:rsidRPr="005B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материнского капитала в 2022 году</w:t>
      </w:r>
    </w:p>
    <w:p w:rsidR="003554A7" w:rsidRDefault="003554A7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размера материнского капитала, то здесь уже уместно говорить о новых значениях, которые будут применяться с 1 февраля 2022 года. </w:t>
      </w:r>
      <w:proofErr w:type="gram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соо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 </w:t>
      </w:r>
      <w:hyperlink r:id="rId28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21 декабря 2021 г. № 415-ФЗ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теперь именно с этой даты размер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 </w:t>
      </w:r>
      <w:hyperlink r:id="rId29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ежегодно пересматриваться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причем не просто с учетом темпов роста инфляции, как ранее, а исходя из индекса роста потребител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цен за предыдущий год и на конкретный коэффициент индексации, определя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мый Правительством РФ, то есть по фактической, а не прогнозируемой инфляции (</w:t>
      </w:r>
      <w:hyperlink r:id="rId30" w:anchor="block_62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2</w:t>
        </w:r>
        <w:proofErr w:type="gramEnd"/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ст. 6 Закона № 256-ФЗ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слову, сегодня Председатель Правительства </w:t>
      </w:r>
      <w:r w:rsidRPr="005B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Михаил </w:t>
      </w:r>
      <w:proofErr w:type="spellStart"/>
      <w:r w:rsidRPr="005B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Мишустин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подписал постановление об утверждении коэффициента индексации выплат, пособий и ко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пенсаций в 2022 году, о чем сообщается на официальном сайте кабинета министров. Этим документом, в частности, установлен и коэффициент индексации размера м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теринского капитала в текущем году. Так, размер материнского капитала будет пр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индексирован на 8,4%. Этот показатель определен исходя из индекса потребител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цен за 2021 год, равного 108,39%.</w:t>
      </w:r>
    </w:p>
    <w:p w:rsidR="005B73A8" w:rsidRPr="003554A7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Следовательно, в случае утверждения соответствующего постановления с 1 февраля </w:t>
      </w:r>
      <w:r w:rsidR="003554A7" w:rsidRPr="00355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355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материнского капитала повысится:</w:t>
      </w:r>
    </w:p>
    <w:p w:rsidR="005B73A8" w:rsidRPr="005B73A8" w:rsidRDefault="005B73A8" w:rsidP="005B73A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 483 881,83 руб. до 524 527,9 руб. (на 40 646,07 руб.) – для лиц, у кот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право на него возникло до 31 декабря 2019 года включительно;</w:t>
      </w:r>
    </w:p>
    <w:p w:rsidR="005B73A8" w:rsidRPr="005B73A8" w:rsidRDefault="005B73A8" w:rsidP="005B73A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 483 881,83 руб. до 524 527,9 руб. (на 40 646,07 руб.) – для лиц, у кот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право на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возникло в связи с рождением (усыновлением) первого р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начиная с 1 января 2020 года;</w:t>
      </w:r>
    </w:p>
    <w:p w:rsidR="005B73A8" w:rsidRPr="005B73A8" w:rsidRDefault="005B73A8" w:rsidP="005B73A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 639 431,83 руб. до 693 144,1 руб. (больше на 53 712,27 руб.) – для лиц, у которых право на меру поддержки возникло в связи с рождением (усыновлением) второго ребенка начиная с 1 января 2020 года при условии, что первый ребенок был рожден (усыновлен) до указанной даты;</w:t>
      </w:r>
    </w:p>
    <w:p w:rsidR="005B73A8" w:rsidRPr="005B73A8" w:rsidRDefault="005B73A8" w:rsidP="005B73A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639 431,83 руб. до 693 144,1 руб. (больше на 53 712,27 руб.) – для лиц, у которых право на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возникло в связи с рождением (усыновлением) третьего или последующих детей начиная с 1 января 2020 года при условии, что р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права на дополнительную меру господдержки у них не было.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очередь, размер повышения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лиц, у которых право на него возникло в связи с рождением (усыновлением) первого ребенка, при рождении (усыновлении) второго ребенка, составит 168 616,2 руб. вместо 155 550 руб. (больше на 13 066,2 руб.). Речь идет о случаях рождения (усыновления) второго ребенка н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чиная с 1 января 2020 года при условии, что первый ребенок был рожден (усыно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лен) также начиная с 1 января 2020 года.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Тот же индекс – 8,4% – будет применен при пересмотре размера не использ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до 1 февраля части суммы средств материнского (семейного) капитала.</w:t>
      </w:r>
    </w:p>
    <w:p w:rsidR="003554A7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актуальном размере материнского капитала можно узнать, подав заявление о выдаче соответствующей справки. Последнее подается непосре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в территориальный орган ПФР по месту жительства (пребывания) или фа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тического проживания, а заявителями, выехавшими на постоянное место жительства за рубеж и не имеющими места жительства (пребывания) на территории России, – непосредственно в ПФР. 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его можно направить по почте или в виде электронного документа ч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единый портал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личный кабинет застрахованного лица. Справка о размере материнского капитала или его оставшейся части на бумажном носителе или в форме электронного документа выдается в течение 5 рабочих дней </w:t>
      </w:r>
      <w:proofErr w:type="gram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приема</w:t>
      </w:r>
      <w:proofErr w:type="gram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 Причем количество обращений заявителя за получением такой справки не ограничено</w:t>
      </w:r>
      <w:r w:rsidR="00355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3A8" w:rsidRPr="005B73A8" w:rsidRDefault="005B73A8" w:rsidP="00863626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3" w:name="4"/>
      <w:bookmarkEnd w:id="3"/>
      <w:r w:rsidRPr="005B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 средствами материнского капитала</w:t>
      </w:r>
    </w:p>
    <w:p w:rsidR="005B73A8" w:rsidRPr="005B73A8" w:rsidRDefault="00332812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anchor="block_7" w:history="1">
        <w:r w:rsidR="005B73A8"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7 Закона № 256-ФЗ</w:t>
        </w:r>
      </w:hyperlink>
      <w:r w:rsidR="005B73A8"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5 направлений использования средств материнского капитала:</w:t>
      </w:r>
    </w:p>
    <w:p w:rsidR="005B73A8" w:rsidRPr="005B73A8" w:rsidRDefault="005B73A8" w:rsidP="005B73A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условий;</w:t>
      </w:r>
    </w:p>
    <w:p w:rsidR="005B73A8" w:rsidRPr="005B73A8" w:rsidRDefault="005B73A8" w:rsidP="005B73A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 ребенком (детьми);</w:t>
      </w:r>
    </w:p>
    <w:p w:rsidR="005B73A8" w:rsidRPr="005B73A8" w:rsidRDefault="005B73A8" w:rsidP="005B73A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накопительной пенсии матери;</w:t>
      </w:r>
    </w:p>
    <w:p w:rsidR="005B73A8" w:rsidRPr="005B73A8" w:rsidRDefault="005B73A8" w:rsidP="005B73A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товаров и услуг, предназначенных для социальной ада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и интеграции в общество детей-инвалидов;</w:t>
      </w:r>
    </w:p>
    <w:p w:rsidR="005B73A8" w:rsidRPr="005B73A8" w:rsidRDefault="005B73A8" w:rsidP="005B73A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ежемесячной выплаты в соответствии с Федеральным зак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 28 декабря 2017 г. № 418-ФЗ "</w:t>
      </w:r>
      <w:hyperlink r:id="rId32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 ежемесячных выплатах семьям, имеющим детей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hyperlink r:id="rId33" w:anchor="block_73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3 ст. 7 Закона № 256-ФЗ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3626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направление предполагает возможность использования средств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капитала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 приобретение или строительство жилого помещения посредством с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вершения сделок и участия в обязательствах путем безналичного перечисления средств организации, осуществляющей отчуждение (строительство) жилого пом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щения, либо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физлицу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осуществляющему отчуждение приобретаемого жилья, либо организации, в том числе кредитной, предоставившей по кредитному договору (д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 займа) денежные средства на эти цели;</w:t>
      </w:r>
      <w:proofErr w:type="gram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строительство, реконструкцию объекта ИЖС без привлечения строительной организации путем перечисления средств на банковский счет лица, получившего сертификат. 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этого направления возможно использование части средств капитала на компенсацию затрат на построенный или реконструированный объект ИЖС, на исполнение связанных с улучшением жилищных условий обязательств, возникших до даты приобретения права на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уплату первоначального взноса или погашение основного долга и уплату процентов по кредитам или займам на приобретение (строительство) жилья, включая ипотечные кредиты, независимо от срока</w:t>
      </w:r>
      <w:proofErr w:type="gram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истекшего со дня рождения или усыновления второго, третьего ребенка или последующих детей (</w:t>
      </w:r>
      <w:hyperlink r:id="rId34" w:anchor="block_10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10 Закона № 256-ФЗ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предусматривает, что средства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потрачены для обучения детей не старше 25 лет на оплату платных образовательных услуг, а также иных связанных с получением образования расходов. Одним из условий 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финансирование получения образования ребенком я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то, что оплатить за счет этих средств можно обучение только в той организ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которая оказывает образовательные услуги на территории России (</w:t>
      </w:r>
      <w:hyperlink r:id="rId35" w:anchor="block_11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11 Закона № 256-ФЗ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учесть, что на основании </w:t>
      </w:r>
      <w:hyperlink r:id="rId36" w:anchor="block_761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6.1 ст. 7 Закона № 256-ФЗ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заявление о распоряжении средствами материнского капитала на оплату расходов, связанных с получением дошкольного образования, а также на оплату платных образовательных услуг по реализации образовательных программ дошкольного образования можно подать, не дожидаясь истечения трех лет с момента возникновения права на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вполне реально использовать эти средства, например, на пребывание</w:t>
      </w:r>
      <w:proofErr w:type="gram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в яслях или в группе продленного дня.</w:t>
      </w:r>
    </w:p>
    <w:p w:rsidR="00863626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специфика направления средств материнского капитала на формирование накопительной пенсии заключается в том, что такой вариант испол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доступен только женщинам. 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касается использования средств материнского капитала на приобретение товаров и услуг, предназначенных для социальной адаптации и интеграции в общ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детей-инвалидов, то они могут быть направлены на эти цели в соответствии с индивидуальной программой реабилитации путем компенсации расходов на прио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ретение соответствующих товаров и услуг. Исключение действует в отношении ра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ходов на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медуслуги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предусмотренные федеральным перечнем реабил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тационные мероприятия, технические средства реабилитации и услуги, предоста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ляемые инвалиду за счет средств федерального бюджета. Средства можно использ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как для родного ребенка-инвалида, так и для усыновленного, в том числе пе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вого, второго, третьего и последующих детей-инвалидов – потребуется только по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расходы на приобретение товаров договорами купли-продажи, товарными, кассовыми чеками или иными документами, а услуг – договорами об их оказании, заключенными с организациями или ИП (</w:t>
      </w:r>
      <w:hyperlink r:id="rId37" w:anchor="block_1101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11.1 Закона № 256-ФЗ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способ получить средства материнского капитала в виде "ж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вых" денег – это получение ежемесячных выплат в связи с рождением (усыновлен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ем) второго ребенка из средств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такой механизм использования до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 не всем держателям сертификата на материнский капитал, а только тем, кот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соответствуют следующим условиям:</w:t>
      </w:r>
    </w:p>
    <w:p w:rsidR="005B73A8" w:rsidRPr="005B73A8" w:rsidRDefault="005B73A8" w:rsidP="005B73A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является гражданином РФ и постоянно проживает на терр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России;</w:t>
      </w:r>
    </w:p>
    <w:p w:rsidR="005B73A8" w:rsidRPr="005B73A8" w:rsidRDefault="005B73A8" w:rsidP="005B73A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является вторым ребенком в семье, рожден (усыновлен) нач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с 1 января 2018 года, является гражданином РФ и проживает совместно с лицом, получившим сертификат на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3A8" w:rsidRPr="005B73A8" w:rsidRDefault="005B73A8" w:rsidP="005B73A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достиг возраста трех лет на момент обращения за назначен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ежемесячной выплаты из средств материнского капитала (если обращение п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ступило не позднее шести месяцев со дня рождения ребенка, то выплата будет н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значена со дня его рождения, в иных случаях – со дня обращения за ее назначен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ем);</w:t>
      </w:r>
    </w:p>
    <w:p w:rsidR="005B73A8" w:rsidRPr="005B73A8" w:rsidRDefault="005B73A8" w:rsidP="005B73A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среднедушевого дохода семьи не превышает 2-кратную величину прожиточного минимума трудоспособного населения, установленную в субъекте 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 (расчет среднедушевого дохода семьи орган ПФР производит самостоятельно на основании представленных заявителем или запрошенных у органов власти и орган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данных) (Федеральный закон от 28 декабря 2017 г. № 418-ФЗ "</w:t>
      </w:r>
      <w:hyperlink r:id="rId38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 ежемесячных выплатах семьям, имеющим детей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лица, получившие сертификат на материнский капитал, могут ра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поряжаться его средствами по указанным направлениям в полном объеме либо по частям, в том числе одновременно по нескольким направлениям</w:t>
      </w:r>
      <w:proofErr w:type="gramStart"/>
      <w:r w:rsidR="00863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39" w:anchor="block_74" w:history="1">
        <w:proofErr w:type="gramStart"/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4 ст. 7 Закона № 256-ФЗ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распоряжении может быть подано в любое время по истечении трех лет со дня рождения (усыновления) ребенка, в связи с рождением (усыновлен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ем) которого возникло право на дополнительную меру господдержки, за исключ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случаев необходимости использования средств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 уплату перв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взноса или погашение основного долга и уплату процентов по жили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кредитам или займам, включая ипотеку;</w:t>
      </w:r>
      <w:proofErr w:type="gram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товаров и услуг, предн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значенных для социальной адаптации и интеграции в общество детей-инвалидов; оплату платных образовательных услуг по реализации образовательных программ дошкольного образования и сопутствующих им расходов; получение ежемесячной выплаты из средств </w:t>
      </w:r>
      <w:proofErr w:type="spell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40" w:anchor="block_76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6-6.1 ст. 7 Закона № 256-ФЗ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3626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помнить, что нецелевое использование средств материнского капит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может грозить применением даже уголовных санкций – а именно привлечением к ответственности по </w:t>
      </w:r>
      <w:hyperlink r:id="rId41" w:anchor="block_15902" w:history="1">
        <w:r w:rsidRPr="005B73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159.2 Уголовного кодекса</w:t>
        </w:r>
      </w:hyperlink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3626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эта норма предусматривает наказание за мошенничество при п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лучении выплат, то есть хищение денежных средств или иного имущества при п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лучении пособий, компенсаций, субсидий и иных социальных выплат путем пре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заведомо ложных или недостоверных сведений, а равно путем умолчания о фактах, влекущих прекращение выплат. </w:t>
      </w:r>
    </w:p>
    <w:p w:rsidR="005B73A8" w:rsidRPr="005B73A8" w:rsidRDefault="005B73A8" w:rsidP="005B73A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деяние карается штрафом в размере до 120 тыс. руб. или в размере зарплаты или иного дохода осужденного за период до года, обязательными работ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 срок до 360 часов, исправительными работами на срок до года, ограничением свободы на срок до двух лет, принудительными работами на срок до двух лет или арестом до четырех месяцев.</w:t>
      </w:r>
      <w:proofErr w:type="gramEnd"/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строгое наказание предусмотрено за аналоги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B7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ное преступление, совершенное группой лиц по предварительному сговору, а также лицом с использованием своего служебного положения или в крупном размере – свыше 250 тыс. руб.</w:t>
      </w:r>
    </w:p>
    <w:p w:rsidR="00683F9A" w:rsidRDefault="00683F9A" w:rsidP="00683F9A">
      <w:pPr>
        <w:shd w:val="clear" w:color="auto" w:fill="FFFFFF"/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5"/>
      <w:bookmarkEnd w:id="4"/>
    </w:p>
    <w:p w:rsidR="00683F9A" w:rsidRDefault="00683F9A" w:rsidP="00683F9A">
      <w:pPr>
        <w:shd w:val="clear" w:color="auto" w:fill="FFFFFF"/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задание. </w:t>
      </w:r>
    </w:p>
    <w:p w:rsidR="005B73A8" w:rsidRPr="00683F9A" w:rsidRDefault="00683F9A" w:rsidP="00683F9A">
      <w:pPr>
        <w:shd w:val="clear" w:color="auto" w:fill="FFFFFF"/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лекцию.</w:t>
      </w:r>
    </w:p>
    <w:p w:rsidR="00284C21" w:rsidRPr="005B73A8" w:rsidRDefault="00284C21" w:rsidP="005B73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84C21" w:rsidRPr="005B73A8" w:rsidSect="005B73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BC"/>
    <w:multiLevelType w:val="multilevel"/>
    <w:tmpl w:val="830C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A2FA3"/>
    <w:multiLevelType w:val="multilevel"/>
    <w:tmpl w:val="8C16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B5344"/>
    <w:multiLevelType w:val="multilevel"/>
    <w:tmpl w:val="5708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5126F"/>
    <w:multiLevelType w:val="multilevel"/>
    <w:tmpl w:val="E378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E7EA3"/>
    <w:multiLevelType w:val="multilevel"/>
    <w:tmpl w:val="2758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20910"/>
    <w:multiLevelType w:val="multilevel"/>
    <w:tmpl w:val="D44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81146"/>
    <w:multiLevelType w:val="multilevel"/>
    <w:tmpl w:val="B2E6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5B73A8"/>
    <w:rsid w:val="00033CF9"/>
    <w:rsid w:val="00076E68"/>
    <w:rsid w:val="00284C21"/>
    <w:rsid w:val="00332812"/>
    <w:rsid w:val="003554A7"/>
    <w:rsid w:val="00427628"/>
    <w:rsid w:val="005B73A8"/>
    <w:rsid w:val="00683F9A"/>
    <w:rsid w:val="0086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A8"/>
  </w:style>
  <w:style w:type="paragraph" w:styleId="2">
    <w:name w:val="heading 2"/>
    <w:basedOn w:val="a"/>
    <w:link w:val="20"/>
    <w:uiPriority w:val="9"/>
    <w:qFormat/>
    <w:rsid w:val="005B7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vertising">
    <w:name w:val="advertising"/>
    <w:basedOn w:val="a0"/>
    <w:rsid w:val="005B73A8"/>
  </w:style>
  <w:style w:type="paragraph" w:styleId="a3">
    <w:name w:val="Normal (Web)"/>
    <w:basedOn w:val="a"/>
    <w:uiPriority w:val="99"/>
    <w:semiHidden/>
    <w:unhideWhenUsed/>
    <w:rsid w:val="005B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3A8"/>
    <w:rPr>
      <w:b/>
      <w:bCs/>
    </w:rPr>
  </w:style>
  <w:style w:type="character" w:styleId="a5">
    <w:name w:val="Hyperlink"/>
    <w:basedOn w:val="a0"/>
    <w:uiPriority w:val="99"/>
    <w:semiHidden/>
    <w:unhideWhenUsed/>
    <w:rsid w:val="005B73A8"/>
    <w:rPr>
      <w:color w:val="0000FF"/>
      <w:u w:val="single"/>
    </w:rPr>
  </w:style>
  <w:style w:type="paragraph" w:customStyle="1" w:styleId="advertising1">
    <w:name w:val="advertising1"/>
    <w:basedOn w:val="a"/>
    <w:rsid w:val="005B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1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636">
          <w:marLeft w:val="120"/>
          <w:marRight w:val="12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1286/5ac206a89ea76855804609cd950fcaf7/" TargetMode="External"/><Relationship Id="rId13" Type="http://schemas.openxmlformats.org/officeDocument/2006/relationships/hyperlink" Target="https://base.garant.ru/72822676/" TargetMode="External"/><Relationship Id="rId18" Type="http://schemas.openxmlformats.org/officeDocument/2006/relationships/hyperlink" Target="https://base.garant.ru/72822676/" TargetMode="External"/><Relationship Id="rId26" Type="http://schemas.openxmlformats.org/officeDocument/2006/relationships/hyperlink" Target="https://base.garant.ru/73842456/" TargetMode="External"/><Relationship Id="rId39" Type="http://schemas.openxmlformats.org/officeDocument/2006/relationships/hyperlink" Target="http://base.garant.ru/12151286/e88847e78ccd9fdb54482c7fa15982b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51286/" TargetMode="External"/><Relationship Id="rId34" Type="http://schemas.openxmlformats.org/officeDocument/2006/relationships/hyperlink" Target="http://base.garant.ru/12151286/3d3a9e2eb4f30c73ea6671464e2a54b5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ase.garant.ru/12151286/5ac206a89ea76855804609cd950fcaf7/" TargetMode="External"/><Relationship Id="rId12" Type="http://schemas.openxmlformats.org/officeDocument/2006/relationships/hyperlink" Target="https://base.garant.ru/73842456/" TargetMode="External"/><Relationship Id="rId17" Type="http://schemas.openxmlformats.org/officeDocument/2006/relationships/hyperlink" Target="http://base.garant.ru/12151286/5633a92d35b966c2ba2f1e859e7bdd69/" TargetMode="External"/><Relationship Id="rId25" Type="http://schemas.openxmlformats.org/officeDocument/2006/relationships/hyperlink" Target="https://base.garant.ru/73842456/53f89421bbdaf741eb2d1ecc4ddb4c33/" TargetMode="External"/><Relationship Id="rId33" Type="http://schemas.openxmlformats.org/officeDocument/2006/relationships/hyperlink" Target="http://base.garant.ru/12151286/e88847e78ccd9fdb54482c7fa15982bf/" TargetMode="External"/><Relationship Id="rId38" Type="http://schemas.openxmlformats.org/officeDocument/2006/relationships/hyperlink" Target="http://base.garant.ru/7184661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51286/5633a92d35b966c2ba2f1e859e7bdd69/" TargetMode="External"/><Relationship Id="rId20" Type="http://schemas.openxmlformats.org/officeDocument/2006/relationships/hyperlink" Target="http://base.garant.ru/72822676/" TargetMode="External"/><Relationship Id="rId29" Type="http://schemas.openxmlformats.org/officeDocument/2006/relationships/hyperlink" Target="https://www.garant.ru/news/1509900/" TargetMode="External"/><Relationship Id="rId41" Type="http://schemas.openxmlformats.org/officeDocument/2006/relationships/hyperlink" Target="http://base.garant.ru/10108000/d2cc2d4af347ae036b1d9b6ebb88945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1286/" TargetMode="External"/><Relationship Id="rId11" Type="http://schemas.openxmlformats.org/officeDocument/2006/relationships/hyperlink" Target="https://base.garant.ru/71429670/" TargetMode="External"/><Relationship Id="rId24" Type="http://schemas.openxmlformats.org/officeDocument/2006/relationships/hyperlink" Target="http://base.garant.ru/12151286/5633a92d35b966c2ba2f1e859e7bdd69/" TargetMode="External"/><Relationship Id="rId32" Type="http://schemas.openxmlformats.org/officeDocument/2006/relationships/hyperlink" Target="http://base.garant.ru/71846616/" TargetMode="External"/><Relationship Id="rId37" Type="http://schemas.openxmlformats.org/officeDocument/2006/relationships/hyperlink" Target="http://base.garant.ru/12151286/826c5a47782fe0717a0695a25d5a1621/" TargetMode="External"/><Relationship Id="rId40" Type="http://schemas.openxmlformats.org/officeDocument/2006/relationships/hyperlink" Target="http://base.garant.ru/12151286/e88847e78ccd9fdb54482c7fa15982bf/" TargetMode="External"/><Relationship Id="rId5" Type="http://schemas.openxmlformats.org/officeDocument/2006/relationships/hyperlink" Target="http://base.garant.ru/10103000/478b4d0990e492511bea1e634e90a7b7/" TargetMode="External"/><Relationship Id="rId15" Type="http://schemas.openxmlformats.org/officeDocument/2006/relationships/hyperlink" Target="http://base.garant.ru/72822676/" TargetMode="External"/><Relationship Id="rId23" Type="http://schemas.openxmlformats.org/officeDocument/2006/relationships/hyperlink" Target="http://base.garant.ru/12151286/5633a92d35b966c2ba2f1e859e7bdd69/" TargetMode="External"/><Relationship Id="rId28" Type="http://schemas.openxmlformats.org/officeDocument/2006/relationships/hyperlink" Target="http://base.garant.ru/403265398/" TargetMode="External"/><Relationship Id="rId36" Type="http://schemas.openxmlformats.org/officeDocument/2006/relationships/hyperlink" Target="http://base.garant.ru/12151286/e88847e78ccd9fdb54482c7fa15982bf/" TargetMode="External"/><Relationship Id="rId10" Type="http://schemas.openxmlformats.org/officeDocument/2006/relationships/hyperlink" Target="http://base.garant.ru/12151286/5ac206a89ea76855804609cd950fcaf7/" TargetMode="External"/><Relationship Id="rId19" Type="http://schemas.openxmlformats.org/officeDocument/2006/relationships/hyperlink" Target="https://base.garant.ru/72822676/" TargetMode="External"/><Relationship Id="rId31" Type="http://schemas.openxmlformats.org/officeDocument/2006/relationships/hyperlink" Target="http://base.garant.ru/12151286/e88847e78ccd9fdb54482c7fa15982b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429670/" TargetMode="External"/><Relationship Id="rId14" Type="http://schemas.openxmlformats.org/officeDocument/2006/relationships/hyperlink" Target="https://base.garant.ru/72822676/" TargetMode="External"/><Relationship Id="rId22" Type="http://schemas.openxmlformats.org/officeDocument/2006/relationships/hyperlink" Target="http://base.garant.ru/12151286/5633a92d35b966c2ba2f1e859e7bdd69/" TargetMode="External"/><Relationship Id="rId27" Type="http://schemas.openxmlformats.org/officeDocument/2006/relationships/hyperlink" Target="https://base.garant.ru/73842456/53f89421bbdaf741eb2d1ecc4ddb4c33/" TargetMode="External"/><Relationship Id="rId30" Type="http://schemas.openxmlformats.org/officeDocument/2006/relationships/hyperlink" Target="http://base.garant.ru/12151286/8b7b3c1c76e91f88d33c08b3736aa67a/" TargetMode="External"/><Relationship Id="rId35" Type="http://schemas.openxmlformats.org/officeDocument/2006/relationships/hyperlink" Target="http://base.garant.ru/12151286/9d78f2e21a0e8d6e5a75ac4e4a939832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2022-01-31T06:54:00Z</dcterms:created>
  <dcterms:modified xsi:type="dcterms:W3CDTF">2022-02-04T18:19:00Z</dcterms:modified>
</cp:coreProperties>
</file>