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BAD5" w14:textId="77777777" w:rsidR="00D034CC" w:rsidRPr="00126F44" w:rsidRDefault="00126F44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b/>
          <w:i/>
          <w:color w:val="000000"/>
          <w:sz w:val="28"/>
          <w:szCs w:val="28"/>
        </w:rPr>
      </w:pPr>
      <w:r w:rsidRPr="00126F44">
        <w:rPr>
          <w:rFonts w:ascii="Georgia" w:hAnsi="Georgia"/>
          <w:b/>
          <w:color w:val="000000"/>
          <w:sz w:val="28"/>
          <w:szCs w:val="28"/>
          <w:u w:val="single"/>
        </w:rPr>
        <w:t>Т</w:t>
      </w:r>
      <w:r w:rsidR="00D034CC" w:rsidRPr="00126F44">
        <w:rPr>
          <w:rFonts w:ascii="Georgia" w:hAnsi="Georgia"/>
          <w:b/>
          <w:color w:val="000000"/>
          <w:sz w:val="28"/>
          <w:szCs w:val="28"/>
          <w:u w:val="single"/>
        </w:rPr>
        <w:t>ема:</w:t>
      </w:r>
      <w:r w:rsidR="00D034CC" w:rsidRPr="00126F44">
        <w:rPr>
          <w:rFonts w:ascii="Georgia" w:hAnsi="Georgia"/>
          <w:color w:val="000000"/>
          <w:sz w:val="28"/>
          <w:szCs w:val="28"/>
        </w:rPr>
        <w:t xml:space="preserve"> </w:t>
      </w:r>
      <w:r w:rsidR="00D034CC" w:rsidRPr="00126F44">
        <w:rPr>
          <w:rFonts w:ascii="Georgia" w:hAnsi="Georgia"/>
          <w:b/>
          <w:i/>
          <w:color w:val="000000"/>
          <w:sz w:val="28"/>
          <w:szCs w:val="28"/>
        </w:rPr>
        <w:t>Понятие бухгалтерской и финансовой отчетности</w:t>
      </w:r>
    </w:p>
    <w:p w14:paraId="259A568C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126F44">
        <w:rPr>
          <w:rFonts w:ascii="Georgia" w:hAnsi="Georgia"/>
          <w:color w:val="000000"/>
          <w:sz w:val="28"/>
          <w:szCs w:val="28"/>
        </w:rPr>
        <w:t>Задание</w:t>
      </w:r>
      <w:r w:rsidRPr="00D034CC">
        <w:rPr>
          <w:rFonts w:ascii="Georgia" w:hAnsi="Georgia"/>
          <w:color w:val="000000"/>
          <w:sz w:val="32"/>
          <w:szCs w:val="32"/>
        </w:rPr>
        <w:t>:</w:t>
      </w:r>
      <w:r>
        <w:rPr>
          <w:rFonts w:ascii="Georgia" w:hAnsi="Georgia"/>
          <w:color w:val="000000"/>
          <w:sz w:val="39"/>
          <w:szCs w:val="39"/>
        </w:rPr>
        <w:t xml:space="preserve"> </w:t>
      </w:r>
      <w:r w:rsidRPr="00D034CC">
        <w:rPr>
          <w:rFonts w:ascii="Georgia" w:hAnsi="Georgia"/>
          <w:color w:val="000000"/>
          <w:sz w:val="28"/>
          <w:szCs w:val="28"/>
        </w:rPr>
        <w:t>Сделать конспект и выучить</w:t>
      </w:r>
    </w:p>
    <w:p w14:paraId="2CF6F22E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Все организации, независимо от формы собственности, находящиеся как на самоокупаемости, так и на бюджетном финансировании, обязаны составлять бухгалтерскую финансовую отчетность на основе данных синтетического и аналитического учета.</w:t>
      </w:r>
    </w:p>
    <w:p w14:paraId="18B5A6D4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С 1 января 2004 г. годовая финансовая отчетность в соответствии с приказом Минфина., включает следующие формы:</w:t>
      </w:r>
    </w:p>
    <w:p w14:paraId="0BCDDDDF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бухгалтерский баланс (форма № 1);</w:t>
      </w:r>
    </w:p>
    <w:p w14:paraId="73C57918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отчет о прибылях и убытках (форма № 2);</w:t>
      </w:r>
    </w:p>
    <w:p w14:paraId="79C379B0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отчет об изменениях капитала (форма № 3);</w:t>
      </w:r>
    </w:p>
    <w:p w14:paraId="5B204B66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отчет о движении денежных средств (форма № 4);</w:t>
      </w:r>
    </w:p>
    <w:p w14:paraId="00F968A4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приложение к бухгалтерскому балансу (форма № 5);</w:t>
      </w:r>
    </w:p>
    <w:p w14:paraId="7B301438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отчет о целевом использовании полученных средств (форма № 6);</w:t>
      </w:r>
    </w:p>
    <w:p w14:paraId="7E84B4D5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пояснительную записку;</w:t>
      </w:r>
    </w:p>
    <w:p w14:paraId="441A4AF0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аудиторское заключение.</w:t>
      </w:r>
    </w:p>
    <w:p w14:paraId="3FB9A0E5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К отчетности прилагается дополнительная информация, раскрывающая отдельные стороны финансово-хозяйственной деятельности организации и состоящая из отдельных справок:</w:t>
      </w:r>
    </w:p>
    <w:p w14:paraId="4F5E4483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перечень организаций-дебиторов;</w:t>
      </w:r>
    </w:p>
    <w:p w14:paraId="6E772ED4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перечень организаций-кредиторов;</w:t>
      </w:r>
    </w:p>
    <w:p w14:paraId="6D4C61AA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сведения о счетах в иностранной валюте в банках или иных кредитных учреждениях, действующих на территории Российской Федерации и за рубежом;</w:t>
      </w:r>
    </w:p>
    <w:p w14:paraId="264BB144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сведения о рублевых счетах в банках и иных кредитных учреждениях, действующих на территории Российской Федерации.</w:t>
      </w:r>
    </w:p>
    <w:p w14:paraId="40DC56F1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Следует отметить, что новые подходы к формированию финансовой отчетности выражаются в отказе от типовых форм бухгалтерской отчетности, т. е. от одинакового набора показателей о работе организации независимо от вида деятельности, масштаба производства, организационно-правовой формы и т. д. Как показала практика, типовые формы являлись для одних организаций избыточными по ряду показателей, а для других – недостаточными. В связи с этим возможны три варианта фор</w:t>
      </w:r>
      <w:bookmarkStart w:id="0" w:name="_GoBack"/>
      <w:bookmarkEnd w:id="0"/>
      <w:r w:rsidRPr="00D034CC">
        <w:rPr>
          <w:rFonts w:ascii="Georgia" w:hAnsi="Georgia"/>
          <w:color w:val="000000"/>
          <w:sz w:val="28"/>
          <w:szCs w:val="28"/>
        </w:rPr>
        <w:t xml:space="preserve">мирования финансовой </w:t>
      </w:r>
      <w:r w:rsidRPr="00D034CC">
        <w:rPr>
          <w:rFonts w:ascii="Georgia" w:hAnsi="Georgia"/>
          <w:color w:val="000000"/>
          <w:sz w:val="28"/>
          <w:szCs w:val="28"/>
        </w:rPr>
        <w:lastRenderedPageBreak/>
        <w:t>отчетности с условными названиями: упрощенный, стандартный и множественный.</w:t>
      </w:r>
    </w:p>
    <w:p w14:paraId="60004233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Style w:val="a4"/>
          <w:rFonts w:ascii="Georgia" w:hAnsi="Georgia"/>
          <w:b/>
          <w:color w:val="000000"/>
          <w:sz w:val="28"/>
          <w:szCs w:val="28"/>
          <w:u w:val="single"/>
        </w:rPr>
        <w:t>Упрощенный вариант</w:t>
      </w:r>
      <w:r w:rsidRPr="00D034CC">
        <w:rPr>
          <w:rStyle w:val="a4"/>
          <w:rFonts w:ascii="Georgia" w:hAnsi="Georgia"/>
          <w:color w:val="000000"/>
          <w:sz w:val="28"/>
          <w:szCs w:val="28"/>
        </w:rPr>
        <w:t> </w:t>
      </w:r>
      <w:r w:rsidRPr="00D034CC">
        <w:rPr>
          <w:rFonts w:ascii="Georgia" w:hAnsi="Georgia"/>
          <w:color w:val="000000"/>
          <w:sz w:val="28"/>
          <w:szCs w:val="28"/>
        </w:rPr>
        <w:t>предназначен для субъектов малого предпринимательства и некоммерческих (кроме бюджетных) организаций. В данном случае в состав годовой финансовой отчетности не включается ряд форм: отчет об изменениях капитала (форма № 3), отчет о движении денежных средств (форма № 4), приложение к бухгалтерскому балансу (форма № 5). По некоммерческим организациям рекомендуется дополнительно включить в состав годовой отчетности отчет о целевом использовании полученных средств (форма № 6).</w:t>
      </w:r>
    </w:p>
    <w:p w14:paraId="04F898E4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Style w:val="a4"/>
          <w:rFonts w:ascii="Georgia" w:hAnsi="Georgia"/>
          <w:b/>
          <w:color w:val="000000"/>
          <w:sz w:val="28"/>
          <w:szCs w:val="28"/>
          <w:u w:val="single"/>
        </w:rPr>
        <w:t>Стандартный вариант</w:t>
      </w:r>
      <w:r w:rsidRPr="00D034CC">
        <w:rPr>
          <w:rStyle w:val="a4"/>
          <w:rFonts w:ascii="Georgia" w:hAnsi="Georgia"/>
          <w:color w:val="000000"/>
          <w:sz w:val="28"/>
          <w:szCs w:val="28"/>
        </w:rPr>
        <w:t> </w:t>
      </w:r>
      <w:r w:rsidRPr="00D034CC">
        <w:rPr>
          <w:rFonts w:ascii="Georgia" w:hAnsi="Georgia"/>
          <w:color w:val="000000"/>
          <w:sz w:val="28"/>
          <w:szCs w:val="28"/>
        </w:rPr>
        <w:t>предназначается для организаций, работающих на коммерческой основе и относящихся к группе средних и крупных организаций. Этот вариант предполагает формирование бухгалтерской финансовой отчетности применительно к образцам форм в соответствии с Приказом № 67н, если показатели, приведенные в этих образцах форм, позволяют соблюдать изложенные в ПБУ 4/99 общие требования к отчетности, а также требования, касающиеся раскрытия информации, которые содержатся в положениях по бухгалтерскому учету.</w:t>
      </w:r>
    </w:p>
    <w:p w14:paraId="500E07B1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Style w:val="a4"/>
          <w:rFonts w:ascii="Georgia" w:hAnsi="Georgia"/>
          <w:b/>
          <w:color w:val="000000"/>
          <w:sz w:val="28"/>
          <w:szCs w:val="28"/>
          <w:u w:val="single"/>
        </w:rPr>
        <w:t>Множественный вариа</w:t>
      </w:r>
      <w:r w:rsidRPr="00D034CC">
        <w:rPr>
          <w:rStyle w:val="a4"/>
          <w:rFonts w:ascii="Georgia" w:hAnsi="Georgia"/>
          <w:color w:val="000000"/>
          <w:sz w:val="28"/>
          <w:szCs w:val="28"/>
        </w:rPr>
        <w:t>нт </w:t>
      </w:r>
      <w:r w:rsidRPr="00D034CC">
        <w:rPr>
          <w:rFonts w:ascii="Georgia" w:hAnsi="Georgia"/>
          <w:color w:val="000000"/>
          <w:sz w:val="28"/>
          <w:szCs w:val="28"/>
        </w:rPr>
        <w:t>предназначается для коммерческих организаций, относящихся к группе крупнейших предприятий, и крупных организаций, имеющих несколько видов деятельности. В этом случае количество форм, составляющих бухгалтерскую финансовую отчетность, значительно возрастает по ряду причин. Так, целесообразно вместо одной формы № 5 «Приложение к бухгалтерскому балансу» представлять показатели отдельных ее разделов в виде самостоятельных форм финансовой отчетности, либо раздел, характеризующий величину произведенных организацией расходов, включить в виде приложения к форме № 2 «Отчет о прибылях и убытках».</w:t>
      </w:r>
    </w:p>
    <w:p w14:paraId="4549F93A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Кроме того, бухгалтерская отчетность по периодичности составления подразделяется следующим образом:</w:t>
      </w:r>
    </w:p>
    <w:p w14:paraId="41EAFD70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промежуточная бухгалтерская отчетность;</w:t>
      </w:r>
    </w:p>
    <w:p w14:paraId="6F098395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месячная отчетность, составляемую для определенного вида организаций;</w:t>
      </w:r>
    </w:p>
    <w:p w14:paraId="5B09D96C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квартальная отчетность;</w:t>
      </w:r>
    </w:p>
    <w:p w14:paraId="23E6EC76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годовая бухгалтерская отчетность.</w:t>
      </w:r>
    </w:p>
    <w:p w14:paraId="6D0A37BE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 xml:space="preserve">По степени обобщения отчетных данных различают бухгалтерские отчеты первичные (составляемые организациями), </w:t>
      </w:r>
      <w:r w:rsidRPr="00D034CC">
        <w:rPr>
          <w:rFonts w:ascii="Georgia" w:hAnsi="Georgia"/>
          <w:color w:val="000000"/>
          <w:sz w:val="28"/>
          <w:szCs w:val="28"/>
        </w:rPr>
        <w:lastRenderedPageBreak/>
        <w:t>консолидированные (которые составляют материнские организации) и сводные (составляемые вышестоящими организациями на основании первичных отчетов).</w:t>
      </w:r>
    </w:p>
    <w:p w14:paraId="3C095BCD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Приведенный перечень форм отчетности организация может использовать как основу при разработке ею самостоятельно форм бухгалтерской отчетности. Важно, чтобы при этом она соблюдала общие требования, предъявляемые действующими нормативными актами к данной отчетности. Перечень таких требований включает прежде всего полноту, существенность, нейтральность, сравнимость, сопоставимость и т. п.</w:t>
      </w:r>
    </w:p>
    <w:p w14:paraId="4E1390FA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Состав бухгалтерской отчетности бюджетных организаций устанавливается Минфином России.</w:t>
      </w:r>
    </w:p>
    <w:p w14:paraId="5FADA7ED" w14:textId="77777777" w:rsidR="00D034CC" w:rsidRPr="00D034CC" w:rsidRDefault="00D034CC" w:rsidP="009D255F">
      <w:pPr>
        <w:pStyle w:val="a3"/>
        <w:shd w:val="clear" w:color="auto" w:fill="FFFFFF" w:themeFill="background1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Годовой отчет организаций в некоторых отраслях существенно отличается от общепринятых форм отчетности, к примеру, годовой отчет сельскохозяйственных предприятий. Кроме пяти типовых форм, которые заполняют бухгалтеры всех других организаций, бухгалтерия аграрной сферы должна подготовить и сдать в федеральные органы статистики и Минсельхоза России необходимый набор специализированных форм отчетности для сельскохозяйственных предприятий:</w:t>
      </w:r>
    </w:p>
    <w:p w14:paraId="24101886" w14:textId="77777777" w:rsidR="00F22052" w:rsidRPr="00D034CC" w:rsidRDefault="00F22052" w:rsidP="009D255F">
      <w:pPr>
        <w:shd w:val="clear" w:color="auto" w:fill="FFFFFF" w:themeFill="background1"/>
        <w:rPr>
          <w:sz w:val="28"/>
          <w:szCs w:val="28"/>
        </w:rPr>
      </w:pPr>
    </w:p>
    <w:sectPr w:rsidR="00F22052" w:rsidRPr="00D0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E2"/>
    <w:rsid w:val="00126F44"/>
    <w:rsid w:val="001E58E2"/>
    <w:rsid w:val="009D255F"/>
    <w:rsid w:val="00D034CC"/>
    <w:rsid w:val="00F2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CA91"/>
  <w15:chartTrackingRefBased/>
  <w15:docId w15:val="{12B37A3D-D73F-4B88-BE93-D8BDD3C4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3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Наталия Якушенко</cp:lastModifiedBy>
  <cp:revision>6</cp:revision>
  <dcterms:created xsi:type="dcterms:W3CDTF">2020-11-11T09:14:00Z</dcterms:created>
  <dcterms:modified xsi:type="dcterms:W3CDTF">2022-01-27T18:10:00Z</dcterms:modified>
</cp:coreProperties>
</file>