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8C88A" w14:textId="6AD56186" w:rsidR="006D24EA" w:rsidRDefault="006D24EA" w:rsidP="004A16AD">
      <w:pPr>
        <w:shd w:val="clear" w:color="auto" w:fill="FFFFFF"/>
        <w:spacing w:after="0" w:line="240" w:lineRule="auto"/>
        <w:jc w:val="center"/>
        <w:outlineLvl w:val="0"/>
        <w:rPr>
          <w:rFonts w:ascii="Times New Roman" w:eastAsia="Times New Roman" w:hAnsi="Times New Roman" w:cs="Times New Roman"/>
          <w:b/>
          <w:kern w:val="36"/>
          <w:sz w:val="32"/>
          <w:szCs w:val="32"/>
          <w:lang w:eastAsia="ru-RU"/>
        </w:rPr>
      </w:pPr>
      <w:r>
        <w:rPr>
          <w:rFonts w:ascii="Times New Roman" w:eastAsia="Times New Roman" w:hAnsi="Times New Roman" w:cs="Times New Roman"/>
          <w:b/>
          <w:kern w:val="36"/>
          <w:sz w:val="32"/>
          <w:szCs w:val="32"/>
          <w:lang w:eastAsia="ru-RU"/>
        </w:rPr>
        <w:t>Право социального обеспечения</w:t>
      </w:r>
      <w:bookmarkStart w:id="0" w:name="_GoBack"/>
      <w:bookmarkEnd w:id="0"/>
    </w:p>
    <w:p w14:paraId="756D1C20" w14:textId="77777777" w:rsidR="006D24EA" w:rsidRDefault="006D24EA" w:rsidP="004A16AD">
      <w:pPr>
        <w:shd w:val="clear" w:color="auto" w:fill="FFFFFF"/>
        <w:spacing w:after="0" w:line="240" w:lineRule="auto"/>
        <w:jc w:val="center"/>
        <w:outlineLvl w:val="0"/>
        <w:rPr>
          <w:rFonts w:ascii="Times New Roman" w:eastAsia="Times New Roman" w:hAnsi="Times New Roman" w:cs="Times New Roman"/>
          <w:b/>
          <w:kern w:val="36"/>
          <w:sz w:val="32"/>
          <w:szCs w:val="32"/>
          <w:lang w:eastAsia="ru-RU"/>
        </w:rPr>
      </w:pPr>
    </w:p>
    <w:p w14:paraId="5A518216" w14:textId="352206D6" w:rsidR="004A16AD" w:rsidRPr="004A16AD" w:rsidRDefault="004A16AD" w:rsidP="004A16AD">
      <w:pPr>
        <w:shd w:val="clear" w:color="auto" w:fill="FFFFFF"/>
        <w:spacing w:after="0" w:line="240" w:lineRule="auto"/>
        <w:jc w:val="center"/>
        <w:outlineLvl w:val="0"/>
        <w:rPr>
          <w:rFonts w:ascii="Times New Roman" w:eastAsia="Times New Roman" w:hAnsi="Times New Roman" w:cs="Times New Roman"/>
          <w:b/>
          <w:kern w:val="36"/>
          <w:sz w:val="32"/>
          <w:szCs w:val="32"/>
          <w:lang w:eastAsia="ru-RU"/>
        </w:rPr>
      </w:pPr>
      <w:r>
        <w:rPr>
          <w:rFonts w:ascii="Times New Roman" w:eastAsia="Times New Roman" w:hAnsi="Times New Roman" w:cs="Times New Roman"/>
          <w:b/>
          <w:kern w:val="36"/>
          <w:sz w:val="32"/>
          <w:szCs w:val="32"/>
          <w:lang w:eastAsia="ru-RU"/>
        </w:rPr>
        <w:t xml:space="preserve">ТЕМА: </w:t>
      </w:r>
      <w:r w:rsidRPr="004A16AD">
        <w:rPr>
          <w:rFonts w:ascii="Times New Roman" w:eastAsia="Times New Roman" w:hAnsi="Times New Roman" w:cs="Times New Roman"/>
          <w:b/>
          <w:kern w:val="36"/>
          <w:sz w:val="32"/>
          <w:szCs w:val="32"/>
          <w:lang w:eastAsia="ru-RU"/>
        </w:rPr>
        <w:t>Виды страховых пенсий</w:t>
      </w:r>
    </w:p>
    <w:p w14:paraId="03F87869" w14:textId="77777777" w:rsidR="004A16AD" w:rsidRPr="004A16AD" w:rsidRDefault="004A16AD" w:rsidP="004A16AD">
      <w:pPr>
        <w:shd w:val="clear" w:color="auto" w:fill="FFFFFF"/>
        <w:spacing w:after="0" w:line="240" w:lineRule="auto"/>
        <w:jc w:val="center"/>
        <w:outlineLvl w:val="0"/>
        <w:rPr>
          <w:rFonts w:ascii="Times New Roman" w:eastAsia="Times New Roman" w:hAnsi="Times New Roman" w:cs="Times New Roman"/>
          <w:kern w:val="36"/>
          <w:sz w:val="32"/>
          <w:szCs w:val="32"/>
          <w:lang w:eastAsia="ru-RU"/>
        </w:rPr>
      </w:pPr>
    </w:p>
    <w:p w14:paraId="6E3015A1" w14:textId="77777777" w:rsidR="004A16AD" w:rsidRPr="004A16AD" w:rsidRDefault="004A16AD" w:rsidP="004A16AD">
      <w:pPr>
        <w:shd w:val="clear" w:color="auto" w:fill="FFFFFF"/>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ab/>
      </w:r>
      <w:r w:rsidRPr="004A16AD">
        <w:rPr>
          <w:rFonts w:ascii="Times New Roman" w:eastAsia="Times New Roman" w:hAnsi="Times New Roman" w:cs="Times New Roman"/>
          <w:sz w:val="32"/>
          <w:szCs w:val="32"/>
          <w:lang w:eastAsia="ru-RU"/>
        </w:rPr>
        <w:t>Большинство россиян сегодня формируют и получают так называемые страховые пенсии. В соответствии с Федеральным законом от 28.12.2013 г. № 400-ФЗ «О страховых пенсиях» устанавливаются следующие виды страховых пенсий:</w:t>
      </w:r>
    </w:p>
    <w:p w14:paraId="45BAB840" w14:textId="77777777" w:rsidR="004A16AD" w:rsidRPr="004A16AD" w:rsidRDefault="004A16AD" w:rsidP="004A16AD">
      <w:pPr>
        <w:shd w:val="clear" w:color="auto" w:fill="FFFFFF"/>
        <w:spacing w:after="0" w:line="240" w:lineRule="auto"/>
        <w:jc w:val="both"/>
        <w:rPr>
          <w:rFonts w:ascii="Times New Roman" w:eastAsia="Times New Roman" w:hAnsi="Times New Roman" w:cs="Times New Roman"/>
          <w:sz w:val="32"/>
          <w:szCs w:val="32"/>
          <w:lang w:eastAsia="ru-RU"/>
        </w:rPr>
      </w:pPr>
      <w:r w:rsidRPr="004A16AD">
        <w:rPr>
          <w:rFonts w:ascii="Times New Roman" w:eastAsia="Times New Roman" w:hAnsi="Times New Roman" w:cs="Times New Roman"/>
          <w:sz w:val="32"/>
          <w:szCs w:val="32"/>
          <w:lang w:eastAsia="ru-RU"/>
        </w:rPr>
        <w:t>1) страховая пенсия по старости;</w:t>
      </w:r>
    </w:p>
    <w:p w14:paraId="273B4558" w14:textId="77777777" w:rsidR="004A16AD" w:rsidRPr="004A16AD" w:rsidRDefault="004A16AD" w:rsidP="004A16AD">
      <w:pPr>
        <w:shd w:val="clear" w:color="auto" w:fill="FFFFFF"/>
        <w:spacing w:after="0" w:line="240" w:lineRule="auto"/>
        <w:jc w:val="both"/>
        <w:rPr>
          <w:rFonts w:ascii="Times New Roman" w:eastAsia="Times New Roman" w:hAnsi="Times New Roman" w:cs="Times New Roman"/>
          <w:sz w:val="32"/>
          <w:szCs w:val="32"/>
          <w:lang w:eastAsia="ru-RU"/>
        </w:rPr>
      </w:pPr>
      <w:r w:rsidRPr="004A16AD">
        <w:rPr>
          <w:rFonts w:ascii="Times New Roman" w:eastAsia="Times New Roman" w:hAnsi="Times New Roman" w:cs="Times New Roman"/>
          <w:sz w:val="32"/>
          <w:szCs w:val="32"/>
          <w:lang w:eastAsia="ru-RU"/>
        </w:rPr>
        <w:t>2) страховая пенсия по инвалидности;</w:t>
      </w:r>
    </w:p>
    <w:p w14:paraId="27E00F7F" w14:textId="77777777" w:rsidR="004A16AD" w:rsidRPr="004A16AD" w:rsidRDefault="004A16AD" w:rsidP="004A16AD">
      <w:pPr>
        <w:shd w:val="clear" w:color="auto" w:fill="FFFFFF"/>
        <w:spacing w:after="0" w:line="240" w:lineRule="auto"/>
        <w:jc w:val="both"/>
        <w:rPr>
          <w:rFonts w:ascii="Times New Roman" w:eastAsia="Times New Roman" w:hAnsi="Times New Roman" w:cs="Times New Roman"/>
          <w:sz w:val="32"/>
          <w:szCs w:val="32"/>
          <w:lang w:eastAsia="ru-RU"/>
        </w:rPr>
      </w:pPr>
      <w:r w:rsidRPr="004A16AD">
        <w:rPr>
          <w:rFonts w:ascii="Times New Roman" w:eastAsia="Times New Roman" w:hAnsi="Times New Roman" w:cs="Times New Roman"/>
          <w:sz w:val="32"/>
          <w:szCs w:val="32"/>
          <w:lang w:eastAsia="ru-RU"/>
        </w:rPr>
        <w:t>3) страховая пенсия по случаю потери кормильца.</w:t>
      </w:r>
    </w:p>
    <w:p w14:paraId="59BF3C66" w14:textId="77777777" w:rsidR="004A16AD" w:rsidRDefault="004A16AD" w:rsidP="004A16AD">
      <w:pPr>
        <w:shd w:val="clear" w:color="auto" w:fill="FFFFFF"/>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ab/>
      </w:r>
      <w:r w:rsidRPr="004A16AD">
        <w:rPr>
          <w:rFonts w:ascii="Times New Roman" w:eastAsia="Times New Roman" w:hAnsi="Times New Roman" w:cs="Times New Roman"/>
          <w:sz w:val="32"/>
          <w:szCs w:val="32"/>
          <w:lang w:eastAsia="ru-RU"/>
        </w:rPr>
        <w:t>Страховая пенсия по старости – этот вид пенсии получают те, кто утрачивает способность к трудовой деятельности из-за достижения определенного возраста (старости). Чтобы ее получать, необходимо достичь общеустановленного пенсионного возраста или получить право на досрочное  назначение пенсии.</w:t>
      </w:r>
    </w:p>
    <w:p w14:paraId="187CF6EA" w14:textId="77777777" w:rsidR="004A16AD" w:rsidRPr="004A16AD" w:rsidRDefault="004A16AD" w:rsidP="004A16AD">
      <w:pPr>
        <w:shd w:val="clear" w:color="auto" w:fill="FFFFFF"/>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ab/>
      </w:r>
      <w:r w:rsidRPr="004A16AD">
        <w:rPr>
          <w:rFonts w:ascii="Times New Roman" w:eastAsia="Times New Roman" w:hAnsi="Times New Roman" w:cs="Times New Roman"/>
          <w:sz w:val="32"/>
          <w:szCs w:val="32"/>
          <w:lang w:eastAsia="ru-RU"/>
        </w:rPr>
        <w:t>Еще одним из условий назначения является наличие минимального страхового стажа (в 2016 г. – 7 лет, далее с каждым годом требования к минимальному стажу будут увеличиваться на 1 год таким образом, чтобы к 2024 году минимальный страховой стаж составил 15 лет). Также для назначения страховой пенсии по старости необходимо наличие минимального количества индивидуальных пенсионных коэффициентов (в 2016 г. – 9 баллов, далее с каждым годом требования к минимальному количеству баллов будут увеличиваться и к 2025 году составят 30 пенсионных баллов).</w:t>
      </w:r>
    </w:p>
    <w:p w14:paraId="0D192B07" w14:textId="77777777" w:rsidR="004A16AD" w:rsidRPr="004A16AD" w:rsidRDefault="004A16AD" w:rsidP="004A16AD">
      <w:pPr>
        <w:shd w:val="clear" w:color="auto" w:fill="FFFFFF"/>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ab/>
      </w:r>
      <w:r w:rsidRPr="004A16AD">
        <w:rPr>
          <w:rFonts w:ascii="Times New Roman" w:eastAsia="Times New Roman" w:hAnsi="Times New Roman" w:cs="Times New Roman"/>
          <w:sz w:val="32"/>
          <w:szCs w:val="32"/>
          <w:lang w:eastAsia="ru-RU"/>
        </w:rPr>
        <w:t>Страховую пенсию по инвалидности получают те лица, кто имеет ограничения в трудовой деятельности из-за проблем со здоровьем, а не по возрасту. То есть на пенсию по инвалидности имеют право граждане, признанные инвалидами федеральными учреждениями медико-социальной экспертизы в порядке, установленном Федеральным законом от 24.11.1995 №181-ФЗ «О социальной защите инвалидов в РФ». Страховая пенсия по инвалидности устанавливается независимо от причины инвалидности и продолжительности страхового стажа. В случае полного отсутствия стажа назначается государственная пенсия по инвалидности в соответствии с Федеральным законом от 15.12.2001 №166-ФЗ.</w:t>
      </w:r>
    </w:p>
    <w:p w14:paraId="199471FA" w14:textId="77777777" w:rsidR="004A16AD" w:rsidRPr="004A16AD" w:rsidRDefault="004A16AD" w:rsidP="004A16AD">
      <w:pPr>
        <w:shd w:val="clear" w:color="auto" w:fill="FFFFFF"/>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lastRenderedPageBreak/>
        <w:tab/>
      </w:r>
      <w:r w:rsidRPr="004A16AD">
        <w:rPr>
          <w:rFonts w:ascii="Times New Roman" w:eastAsia="Times New Roman" w:hAnsi="Times New Roman" w:cs="Times New Roman"/>
          <w:sz w:val="32"/>
          <w:szCs w:val="32"/>
          <w:lang w:eastAsia="ru-RU"/>
        </w:rPr>
        <w:t>Правом на получение страховой пенсии по случаю потери кормильца обладают нетрудоспособные члены семьи умершего кормильца, состоявшие на его иждивении, (за исключением лиц, совершивших уголовно наказуемое деяние, повлекшее за собой смерть кормильца и установленное в судебном порядке). Таким образом, по общему правилу, для приобретения права на данный вид страховой пенсии лицо должно одновременно отвечать трем специальным условиям:</w:t>
      </w:r>
    </w:p>
    <w:p w14:paraId="6EE553C4" w14:textId="77777777" w:rsidR="004A16AD" w:rsidRPr="004A16AD" w:rsidRDefault="004A16AD" w:rsidP="004A16AD">
      <w:pPr>
        <w:shd w:val="clear" w:color="auto" w:fill="FFFFFF"/>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Pr="004A16AD">
        <w:rPr>
          <w:rFonts w:ascii="Times New Roman" w:eastAsia="Times New Roman" w:hAnsi="Times New Roman" w:cs="Times New Roman"/>
          <w:sz w:val="32"/>
          <w:szCs w:val="32"/>
          <w:lang w:eastAsia="ru-RU"/>
        </w:rPr>
        <w:t>относиться к членам семьи умершего лица, которое было застраховано в системе обязательного пенсионного страхования;</w:t>
      </w:r>
    </w:p>
    <w:p w14:paraId="6ECB7F23" w14:textId="77777777" w:rsidR="004A16AD" w:rsidRPr="004A16AD" w:rsidRDefault="004A16AD" w:rsidP="004A16AD">
      <w:pPr>
        <w:shd w:val="clear" w:color="auto" w:fill="FFFFFF"/>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Pr="004A16AD">
        <w:rPr>
          <w:rFonts w:ascii="Times New Roman" w:eastAsia="Times New Roman" w:hAnsi="Times New Roman" w:cs="Times New Roman"/>
          <w:sz w:val="32"/>
          <w:szCs w:val="32"/>
          <w:lang w:eastAsia="ru-RU"/>
        </w:rPr>
        <w:t>находиться в нетрудоспособном состоянии (в силу несовершеннолетия, инвалидности или достижения общеустановленного пенсионного возраста);</w:t>
      </w:r>
    </w:p>
    <w:p w14:paraId="0FD94227" w14:textId="77777777" w:rsidR="004A16AD" w:rsidRPr="004A16AD" w:rsidRDefault="004A16AD" w:rsidP="004A16AD">
      <w:pPr>
        <w:shd w:val="clear" w:color="auto" w:fill="FFFFFF"/>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Pr="004A16AD">
        <w:rPr>
          <w:rFonts w:ascii="Times New Roman" w:eastAsia="Times New Roman" w:hAnsi="Times New Roman" w:cs="Times New Roman"/>
          <w:sz w:val="32"/>
          <w:szCs w:val="32"/>
          <w:lang w:eastAsia="ru-RU"/>
        </w:rPr>
        <w:t>состоять на иждивении умершего лица, которое было застраховано в системе обязательного пенсионного страхования, к моменту его смерти.</w:t>
      </w:r>
    </w:p>
    <w:p w14:paraId="1CCB7CF4" w14:textId="77777777" w:rsidR="004A16AD" w:rsidRPr="004A16AD" w:rsidRDefault="004A16AD" w:rsidP="004A16AD">
      <w:pPr>
        <w:shd w:val="clear" w:color="auto" w:fill="FFFFFF"/>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ab/>
      </w:r>
      <w:r w:rsidRPr="004A16AD">
        <w:rPr>
          <w:rFonts w:ascii="Times New Roman" w:eastAsia="Times New Roman" w:hAnsi="Times New Roman" w:cs="Times New Roman"/>
          <w:sz w:val="32"/>
          <w:szCs w:val="32"/>
          <w:lang w:eastAsia="ru-RU"/>
        </w:rPr>
        <w:t>Члены семьи умершего кормильца признаются состоявшими на его иждивении, если они находились на его полном содержании или получали от него помощь, которая была для них постоянным и основным источником средств к существованию. Иждивение детей умерших родителей предполагается и не требует доказательств, за исключением указанных детей, объявленных в соответствии с законодательством РФ полностью дееспособными или достигших возраста 18 лет. Для детей старше 18 лет необходимо обязательное подтверждение нахождения на иждивении.</w:t>
      </w:r>
    </w:p>
    <w:p w14:paraId="45856B9D" w14:textId="77777777" w:rsidR="004A16AD" w:rsidRDefault="004A16AD" w:rsidP="004A16AD">
      <w:pPr>
        <w:shd w:val="clear" w:color="auto" w:fill="FFFFFF"/>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ab/>
      </w:r>
      <w:r w:rsidRPr="004A16AD">
        <w:rPr>
          <w:rFonts w:ascii="Times New Roman" w:eastAsia="Times New Roman" w:hAnsi="Times New Roman" w:cs="Times New Roman"/>
          <w:sz w:val="32"/>
          <w:szCs w:val="32"/>
          <w:lang w:eastAsia="ru-RU"/>
        </w:rPr>
        <w:t>В соответствии с  пунктом 2 части 2 статьи 10 Закона № 400-ФЗ  одному из родителей, супругу или другим членам семьи, если они заняты уходом за детьми, братьями, сестрами или внуками умершего кормильца, не достигшими 14 лет, указанная пенсия назначается независимо от того, состояли они или нет на иждивении умершего кормильца.</w:t>
      </w:r>
    </w:p>
    <w:p w14:paraId="2A7E511C" w14:textId="77777777" w:rsidR="004A16AD" w:rsidRDefault="004A16AD" w:rsidP="004A16AD">
      <w:pPr>
        <w:shd w:val="clear" w:color="auto" w:fill="FFFFFF"/>
        <w:spacing w:after="0" w:line="240" w:lineRule="auto"/>
        <w:jc w:val="both"/>
        <w:rPr>
          <w:rFonts w:ascii="Times New Roman" w:eastAsia="Times New Roman" w:hAnsi="Times New Roman" w:cs="Times New Roman"/>
          <w:sz w:val="32"/>
          <w:szCs w:val="32"/>
          <w:lang w:eastAsia="ru-RU"/>
        </w:rPr>
      </w:pPr>
    </w:p>
    <w:p w14:paraId="4AFA684D" w14:textId="77777777" w:rsidR="004A16AD" w:rsidRPr="004A16AD" w:rsidRDefault="004A16AD" w:rsidP="004A16AD">
      <w:pPr>
        <w:shd w:val="clear" w:color="auto" w:fill="FFFFFF"/>
        <w:spacing w:after="0" w:line="240" w:lineRule="auto"/>
        <w:jc w:val="both"/>
        <w:rPr>
          <w:rFonts w:ascii="Times New Roman" w:eastAsia="Times New Roman" w:hAnsi="Times New Roman" w:cs="Times New Roman"/>
          <w:b/>
          <w:sz w:val="32"/>
          <w:szCs w:val="32"/>
          <w:lang w:eastAsia="ru-RU"/>
        </w:rPr>
      </w:pPr>
      <w:r w:rsidRPr="004A16AD">
        <w:rPr>
          <w:rFonts w:ascii="Times New Roman" w:eastAsia="Times New Roman" w:hAnsi="Times New Roman" w:cs="Times New Roman"/>
          <w:b/>
          <w:sz w:val="32"/>
          <w:szCs w:val="32"/>
          <w:lang w:eastAsia="ru-RU"/>
        </w:rPr>
        <w:t>Домашнее задание:</w:t>
      </w:r>
    </w:p>
    <w:p w14:paraId="0380369B" w14:textId="77777777" w:rsidR="004A16AD" w:rsidRPr="004A16AD" w:rsidRDefault="004A16AD" w:rsidP="00AD0B28">
      <w:pPr>
        <w:shd w:val="clear" w:color="auto" w:fill="FFFFFF"/>
        <w:spacing w:after="0" w:line="240" w:lineRule="auto"/>
        <w:jc w:val="both"/>
        <w:rPr>
          <w:rFonts w:ascii="Times New Roman" w:eastAsia="Times New Roman" w:hAnsi="Times New Roman" w:cs="Times New Roman"/>
          <w:sz w:val="32"/>
          <w:szCs w:val="32"/>
          <w:lang w:eastAsia="ru-RU"/>
        </w:rPr>
      </w:pPr>
      <w:r w:rsidRPr="004A16AD">
        <w:rPr>
          <w:rFonts w:ascii="Times New Roman" w:eastAsia="Times New Roman" w:hAnsi="Times New Roman" w:cs="Times New Roman"/>
          <w:sz w:val="32"/>
          <w:szCs w:val="32"/>
          <w:lang w:eastAsia="ru-RU"/>
        </w:rPr>
        <w:t> </w:t>
      </w:r>
      <w:r>
        <w:rPr>
          <w:rFonts w:ascii="Times New Roman" w:eastAsia="Times New Roman" w:hAnsi="Times New Roman" w:cs="Times New Roman"/>
          <w:sz w:val="32"/>
          <w:szCs w:val="32"/>
          <w:lang w:eastAsia="ru-RU"/>
        </w:rPr>
        <w:t>Прочитать лекцию.</w:t>
      </w:r>
      <w:r w:rsidR="00AD0B28">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Законспектировать лекцию в виде таблицы</w:t>
      </w:r>
      <w:r w:rsidR="00AD0B28">
        <w:rPr>
          <w:rFonts w:ascii="Times New Roman" w:eastAsia="Times New Roman" w:hAnsi="Times New Roman" w:cs="Times New Roman"/>
          <w:sz w:val="32"/>
          <w:szCs w:val="32"/>
          <w:lang w:eastAsia="ru-RU"/>
        </w:rPr>
        <w:t>:</w:t>
      </w:r>
    </w:p>
    <w:p w14:paraId="68BB899C" w14:textId="77777777" w:rsidR="00AD0B28" w:rsidRDefault="00AD0B28" w:rsidP="00AD0B28">
      <w:pPr>
        <w:shd w:val="clear" w:color="auto" w:fill="FFFFFF"/>
        <w:spacing w:after="0" w:line="240" w:lineRule="auto"/>
        <w:jc w:val="both"/>
        <w:rPr>
          <w:rFonts w:ascii="Times New Roman" w:eastAsia="Times New Roman" w:hAnsi="Times New Roman" w:cs="Times New Roman"/>
          <w:sz w:val="32"/>
          <w:szCs w:val="32"/>
          <w:lang w:eastAsia="ru-RU"/>
        </w:rPr>
      </w:pPr>
    </w:p>
    <w:tbl>
      <w:tblPr>
        <w:tblStyle w:val="a5"/>
        <w:tblW w:w="0" w:type="auto"/>
        <w:tblLook w:val="04A0" w:firstRow="1" w:lastRow="0" w:firstColumn="1" w:lastColumn="0" w:noHBand="0" w:noVBand="1"/>
      </w:tblPr>
      <w:tblGrid>
        <w:gridCol w:w="675"/>
        <w:gridCol w:w="3872"/>
        <w:gridCol w:w="5024"/>
      </w:tblGrid>
      <w:tr w:rsidR="00AD0B28" w14:paraId="0C16E719" w14:textId="77777777" w:rsidTr="00AD0B28">
        <w:tc>
          <w:tcPr>
            <w:tcW w:w="675" w:type="dxa"/>
          </w:tcPr>
          <w:p w14:paraId="7D9B1370" w14:textId="77777777" w:rsidR="00AD0B28" w:rsidRDefault="00AD0B28" w:rsidP="00DB57E4">
            <w:pPr>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w:t>
            </w:r>
          </w:p>
        </w:tc>
        <w:tc>
          <w:tcPr>
            <w:tcW w:w="3872" w:type="dxa"/>
          </w:tcPr>
          <w:p w14:paraId="4145B3DC" w14:textId="77777777" w:rsidR="00AD0B28" w:rsidRDefault="00AD0B28" w:rsidP="00DB57E4">
            <w:pPr>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Вид страховой пенсии</w:t>
            </w:r>
          </w:p>
        </w:tc>
        <w:tc>
          <w:tcPr>
            <w:tcW w:w="5024" w:type="dxa"/>
          </w:tcPr>
          <w:p w14:paraId="2A11E8A6" w14:textId="77777777" w:rsidR="00AD0B28" w:rsidRDefault="00AD0B28" w:rsidP="00DB57E4">
            <w:pPr>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Круг лиц и условия ее назначения</w:t>
            </w:r>
          </w:p>
        </w:tc>
      </w:tr>
      <w:tr w:rsidR="00AD0B28" w14:paraId="374A3DB3" w14:textId="77777777" w:rsidTr="00AD0B28">
        <w:tc>
          <w:tcPr>
            <w:tcW w:w="675" w:type="dxa"/>
          </w:tcPr>
          <w:p w14:paraId="65AC65CC" w14:textId="77777777" w:rsidR="00AD0B28" w:rsidRDefault="00AD0B28" w:rsidP="00DB57E4">
            <w:pPr>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w:t>
            </w:r>
          </w:p>
        </w:tc>
        <w:tc>
          <w:tcPr>
            <w:tcW w:w="3872" w:type="dxa"/>
          </w:tcPr>
          <w:p w14:paraId="21CA3A66" w14:textId="77777777" w:rsidR="00AD0B28" w:rsidRDefault="00AD0B28" w:rsidP="00DB57E4">
            <w:pPr>
              <w:jc w:val="both"/>
              <w:rPr>
                <w:rFonts w:ascii="Times New Roman" w:eastAsia="Times New Roman" w:hAnsi="Times New Roman" w:cs="Times New Roman"/>
                <w:sz w:val="32"/>
                <w:szCs w:val="32"/>
                <w:lang w:eastAsia="ru-RU"/>
              </w:rPr>
            </w:pPr>
          </w:p>
        </w:tc>
        <w:tc>
          <w:tcPr>
            <w:tcW w:w="5024" w:type="dxa"/>
          </w:tcPr>
          <w:p w14:paraId="662F151F" w14:textId="77777777" w:rsidR="00AD0B28" w:rsidRDefault="00AD0B28" w:rsidP="00DB57E4">
            <w:pPr>
              <w:jc w:val="both"/>
              <w:rPr>
                <w:rFonts w:ascii="Times New Roman" w:eastAsia="Times New Roman" w:hAnsi="Times New Roman" w:cs="Times New Roman"/>
                <w:sz w:val="32"/>
                <w:szCs w:val="32"/>
                <w:lang w:eastAsia="ru-RU"/>
              </w:rPr>
            </w:pPr>
          </w:p>
        </w:tc>
      </w:tr>
      <w:tr w:rsidR="00AD0B28" w14:paraId="512F48AD" w14:textId="77777777" w:rsidTr="00AD0B28">
        <w:tc>
          <w:tcPr>
            <w:tcW w:w="675" w:type="dxa"/>
          </w:tcPr>
          <w:p w14:paraId="362DC409" w14:textId="77777777" w:rsidR="00AD0B28" w:rsidRDefault="00AD0B28" w:rsidP="00DB57E4">
            <w:pPr>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w:t>
            </w:r>
          </w:p>
        </w:tc>
        <w:tc>
          <w:tcPr>
            <w:tcW w:w="3872" w:type="dxa"/>
          </w:tcPr>
          <w:p w14:paraId="14C6561A" w14:textId="77777777" w:rsidR="00AD0B28" w:rsidRDefault="00AD0B28" w:rsidP="00DB57E4">
            <w:pPr>
              <w:jc w:val="both"/>
              <w:rPr>
                <w:rFonts w:ascii="Times New Roman" w:eastAsia="Times New Roman" w:hAnsi="Times New Roman" w:cs="Times New Roman"/>
                <w:sz w:val="32"/>
                <w:szCs w:val="32"/>
                <w:lang w:eastAsia="ru-RU"/>
              </w:rPr>
            </w:pPr>
          </w:p>
        </w:tc>
        <w:tc>
          <w:tcPr>
            <w:tcW w:w="5024" w:type="dxa"/>
          </w:tcPr>
          <w:p w14:paraId="17E1EC34" w14:textId="77777777" w:rsidR="00AD0B28" w:rsidRDefault="00AD0B28" w:rsidP="00DB57E4">
            <w:pPr>
              <w:jc w:val="both"/>
              <w:rPr>
                <w:rFonts w:ascii="Times New Roman" w:eastAsia="Times New Roman" w:hAnsi="Times New Roman" w:cs="Times New Roman"/>
                <w:sz w:val="32"/>
                <w:szCs w:val="32"/>
                <w:lang w:eastAsia="ru-RU"/>
              </w:rPr>
            </w:pPr>
          </w:p>
        </w:tc>
      </w:tr>
      <w:tr w:rsidR="00AD0B28" w14:paraId="251F76EC" w14:textId="77777777" w:rsidTr="00AD0B28">
        <w:tc>
          <w:tcPr>
            <w:tcW w:w="675" w:type="dxa"/>
          </w:tcPr>
          <w:p w14:paraId="1E04011F" w14:textId="77777777" w:rsidR="00AD0B28" w:rsidRDefault="00AD0B28" w:rsidP="00DB57E4">
            <w:pPr>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3</w:t>
            </w:r>
          </w:p>
        </w:tc>
        <w:tc>
          <w:tcPr>
            <w:tcW w:w="3872" w:type="dxa"/>
          </w:tcPr>
          <w:p w14:paraId="1AABC7CC" w14:textId="77777777" w:rsidR="00AD0B28" w:rsidRDefault="00AD0B28" w:rsidP="00DB57E4">
            <w:pPr>
              <w:jc w:val="both"/>
              <w:rPr>
                <w:rFonts w:ascii="Times New Roman" w:eastAsia="Times New Roman" w:hAnsi="Times New Roman" w:cs="Times New Roman"/>
                <w:sz w:val="32"/>
                <w:szCs w:val="32"/>
                <w:lang w:eastAsia="ru-RU"/>
              </w:rPr>
            </w:pPr>
          </w:p>
        </w:tc>
        <w:tc>
          <w:tcPr>
            <w:tcW w:w="5024" w:type="dxa"/>
          </w:tcPr>
          <w:p w14:paraId="4B1CA62A" w14:textId="77777777" w:rsidR="00AD0B28" w:rsidRDefault="00AD0B28" w:rsidP="00DB57E4">
            <w:pPr>
              <w:jc w:val="both"/>
              <w:rPr>
                <w:rFonts w:ascii="Times New Roman" w:eastAsia="Times New Roman" w:hAnsi="Times New Roman" w:cs="Times New Roman"/>
                <w:sz w:val="32"/>
                <w:szCs w:val="32"/>
                <w:lang w:eastAsia="ru-RU"/>
              </w:rPr>
            </w:pPr>
          </w:p>
        </w:tc>
      </w:tr>
    </w:tbl>
    <w:p w14:paraId="4321F129" w14:textId="77777777" w:rsidR="0098553C" w:rsidRPr="004A16AD" w:rsidRDefault="0098553C" w:rsidP="004A16AD">
      <w:pPr>
        <w:spacing w:after="0"/>
        <w:jc w:val="both"/>
        <w:rPr>
          <w:rFonts w:ascii="Times New Roman" w:hAnsi="Times New Roman" w:cs="Times New Roman"/>
          <w:sz w:val="32"/>
          <w:szCs w:val="32"/>
        </w:rPr>
      </w:pPr>
    </w:p>
    <w:sectPr w:rsidR="0098553C" w:rsidRPr="004A16AD" w:rsidSect="009855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A16AD"/>
    <w:rsid w:val="004A16AD"/>
    <w:rsid w:val="006D24EA"/>
    <w:rsid w:val="0098553C"/>
    <w:rsid w:val="00AD0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4FD6E"/>
  <w15:docId w15:val="{B3F09840-6048-4E3C-9E99-79B17C6B2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553C"/>
  </w:style>
  <w:style w:type="paragraph" w:styleId="1">
    <w:name w:val="heading 1"/>
    <w:basedOn w:val="a"/>
    <w:link w:val="10"/>
    <w:uiPriority w:val="9"/>
    <w:qFormat/>
    <w:rsid w:val="004A16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4A16A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16A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4A16A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A16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A16AD"/>
    <w:rPr>
      <w:b/>
      <w:bCs/>
    </w:rPr>
  </w:style>
  <w:style w:type="table" w:styleId="a5">
    <w:name w:val="Table Grid"/>
    <w:basedOn w:val="a1"/>
    <w:uiPriority w:val="59"/>
    <w:rsid w:val="004A1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792313">
      <w:bodyDiv w:val="1"/>
      <w:marLeft w:val="0"/>
      <w:marRight w:val="0"/>
      <w:marTop w:val="0"/>
      <w:marBottom w:val="0"/>
      <w:divBdr>
        <w:top w:val="none" w:sz="0" w:space="0" w:color="auto"/>
        <w:left w:val="none" w:sz="0" w:space="0" w:color="auto"/>
        <w:bottom w:val="none" w:sz="0" w:space="0" w:color="auto"/>
        <w:right w:val="none" w:sz="0" w:space="0" w:color="auto"/>
      </w:divBdr>
      <w:divsChild>
        <w:div w:id="92091417">
          <w:marLeft w:val="0"/>
          <w:marRight w:val="0"/>
          <w:marTop w:val="0"/>
          <w:marBottom w:val="0"/>
          <w:divBdr>
            <w:top w:val="none" w:sz="0" w:space="0" w:color="auto"/>
            <w:left w:val="none" w:sz="0" w:space="0" w:color="auto"/>
            <w:bottom w:val="none" w:sz="0" w:space="0" w:color="auto"/>
            <w:right w:val="none" w:sz="0" w:space="0" w:color="auto"/>
          </w:divBdr>
        </w:div>
        <w:div w:id="2028212449">
          <w:marLeft w:val="0"/>
          <w:marRight w:val="0"/>
          <w:marTop w:val="0"/>
          <w:marBottom w:val="554"/>
          <w:divBdr>
            <w:top w:val="none" w:sz="0" w:space="0" w:color="auto"/>
            <w:left w:val="none" w:sz="0" w:space="0" w:color="auto"/>
            <w:bottom w:val="none" w:sz="0" w:space="0" w:color="auto"/>
            <w:right w:val="none" w:sz="0" w:space="0" w:color="auto"/>
          </w:divBdr>
          <w:divsChild>
            <w:div w:id="1475291746">
              <w:marLeft w:val="0"/>
              <w:marRight w:val="0"/>
              <w:marTop w:val="0"/>
              <w:marBottom w:val="0"/>
              <w:divBdr>
                <w:top w:val="none" w:sz="0" w:space="0" w:color="auto"/>
                <w:left w:val="none" w:sz="0" w:space="0" w:color="auto"/>
                <w:bottom w:val="none" w:sz="0" w:space="0" w:color="auto"/>
                <w:right w:val="none" w:sz="0" w:space="0" w:color="auto"/>
              </w:divBdr>
              <w:divsChild>
                <w:div w:id="110554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487421-73B6-49F0-A9C9-B98CA2A15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555</Words>
  <Characters>3166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Lenovo</cp:lastModifiedBy>
  <cp:revision>4</cp:revision>
  <dcterms:created xsi:type="dcterms:W3CDTF">2020-04-08T12:54:00Z</dcterms:created>
  <dcterms:modified xsi:type="dcterms:W3CDTF">2020-04-08T15:31:00Z</dcterms:modified>
</cp:coreProperties>
</file>