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43CD" w14:textId="34B75817" w:rsidR="00F07C28" w:rsidRDefault="00F07C28" w:rsidP="00F07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="005050AA">
        <w:rPr>
          <w:rFonts w:ascii="Times New Roman" w:hAnsi="Times New Roman" w:cs="Times New Roman"/>
          <w:b/>
          <w:sz w:val="28"/>
          <w:szCs w:val="28"/>
        </w:rPr>
        <w:t>, ПОСО-2</w:t>
      </w:r>
      <w:bookmarkEnd w:id="0"/>
    </w:p>
    <w:p w14:paraId="3E4EC233" w14:textId="77777777" w:rsidR="00F07C28" w:rsidRPr="003D76EA" w:rsidRDefault="00F07C28" w:rsidP="00F07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050A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Составить конспект в тетрадь и выполнить з</w:t>
      </w:r>
      <w:r w:rsidRPr="005050AA">
        <w:rPr>
          <w:rFonts w:ascii="Times New Roman" w:hAnsi="Times New Roman" w:cs="Times New Roman"/>
          <w:bCs/>
          <w:i/>
          <w:sz w:val="28"/>
          <w:szCs w:val="28"/>
          <w:highlight w:val="yellow"/>
          <w:u w:val="single"/>
        </w:rPr>
        <w:t>адания на установление соответствия</w:t>
      </w:r>
    </w:p>
    <w:p w14:paraId="6E7CF73D" w14:textId="77777777" w:rsidR="00F07C28" w:rsidRDefault="00F07C28" w:rsidP="00F07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5E1C3" w14:textId="77777777" w:rsidR="00F07C28" w:rsidRPr="00C54105" w:rsidRDefault="00F07C28" w:rsidP="00F07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лекции: </w:t>
      </w: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Бюджетный процесс в Российской Федерации</w:t>
      </w:r>
    </w:p>
    <w:p w14:paraId="0752C066" w14:textId="77777777" w:rsidR="00F07C28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CABB245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4. Принципы бюджетного процесса</w:t>
      </w:r>
    </w:p>
    <w:p w14:paraId="31E2B0CC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0A550A2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 бюджетного процесса:</w:t>
      </w:r>
    </w:p>
    <w:p w14:paraId="41133E7A" w14:textId="77777777" w:rsidR="00F07C28" w:rsidRPr="005050AA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реальность;</w:t>
      </w:r>
    </w:p>
    <w:p w14:paraId="1A50B02E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полнота отражения доходов, расходов и источников финансирования дефицита бюджетов;</w:t>
      </w:r>
    </w:p>
    <w:p w14:paraId="248390BB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специализация показателей;</w:t>
      </w:r>
    </w:p>
    <w:p w14:paraId="66541C5D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прозрачность (открытость);</w:t>
      </w:r>
    </w:p>
    <w:p w14:paraId="43D11219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ежегодность</w:t>
      </w:r>
      <w:proofErr w:type="spell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B01BA7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реальности (достоверности) бюджета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надежность показателей прогноза социально-экономического развития соответствующей территории и реалистичность расчета доходов и расходов бюджета.</w:t>
      </w:r>
    </w:p>
    <w:p w14:paraId="6D21B5F3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полного отражения доходов, расходов и источников финансирования дефицитов бюджетов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</w:t>
      </w:r>
    </w:p>
    <w:p w14:paraId="414E14C7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специализации показателей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учет расходов при составлении бюджета осуществляется по их целевому назначению, а доходов – по источникам. Такая группировка доходов и расходов бюджетов всех уровней бюджетной системы РФ, а также источников финансирования дефицитов этих бюджетов, используемой для составления и исполнения бюджетов и обеспечивающей сопоставимость показателей бюджетов всех уровней бюджетной системы РФ, 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называется бюджетной классификацией РФ,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 включает:</w:t>
      </w:r>
    </w:p>
    <w:p w14:paraId="6B7FE68A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классификацию доходов бюджетов;</w:t>
      </w:r>
    </w:p>
    <w:p w14:paraId="24BC2A94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классификацию расходов бюджетов;</w:t>
      </w:r>
    </w:p>
    <w:p w14:paraId="61BA3FB6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классификацию источников финансирования дефицитов бюджетов;</w:t>
      </w:r>
    </w:p>
    <w:p w14:paraId="412B220D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классификацию операций публично-правовых образований.</w:t>
      </w:r>
    </w:p>
    <w:p w14:paraId="2EC62D02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прозрачности (открытости):</w:t>
      </w:r>
    </w:p>
    <w:p w14:paraId="03B968DE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образований;</w:t>
      </w:r>
    </w:p>
    <w:p w14:paraId="7AF8B688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обязательную открытость для общества и средств массовой информации проектов бюджетов, внесенных в законодательные (представительные) органы государственной власти (представительные органы муниципальных образований), процедур рассмотрения и принятия решений по проектам бюджетов, в том числе по вопросам, вызывающим разногласия либо внутри законодательного (представительного) органа государственной власти (представительного органа муниципального образования), либо между законодательным (представительным) органом государственной власти (представительным органом муниципального образования) и исполнительным органом государственной власти (местной администрацией);</w:t>
      </w:r>
    </w:p>
    <w:p w14:paraId="327F6DDA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стабильность и (или) преемственность бюджетной классификации РФ, а также обеспечение сопоставимости показателей бюджета отчетного, текущего и очередного финансового года (очередного финансового года и планового периода).</w:t>
      </w:r>
    </w:p>
    <w:p w14:paraId="5DA61424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ежегодности</w:t>
      </w:r>
      <w:proofErr w:type="spell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означает, что бюджетный процесс осуществляется периодически – ежегодно (в настоящее время на 3 года).</w:t>
      </w:r>
    </w:p>
    <w:p w14:paraId="475FA203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72D60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5. Порядок составления проекта Федерального бюджета</w:t>
      </w:r>
    </w:p>
    <w:p w14:paraId="6BF47F02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DB96657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6C97DFC2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Составление проектов бюджетов – это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исключительная прерогатива Правительства РФ, высших исполнительных органов государственной власти субъектов РФ и местных администраций муниципальных образований.</w:t>
      </w:r>
    </w:p>
    <w:p w14:paraId="1970129C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составление проектов бюджетов осуществляют Министерство финансов РФ, финансовые органы субъектов РФ и муниципальных образований.</w:t>
      </w:r>
    </w:p>
    <w:p w14:paraId="7B86AB55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14:paraId="7867D2B6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проекта бюджета основывается на:</w:t>
      </w:r>
    </w:p>
    <w:p w14:paraId="420B939E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Бюджетном послании Президента РФ;</w:t>
      </w:r>
    </w:p>
    <w:p w14:paraId="512AE5D8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прогнозе социально-экономического развития соответствующей территории;</w:t>
      </w:r>
    </w:p>
    <w:p w14:paraId="75C07A50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основных направлениях бюджетной и налоговой политики.</w:t>
      </w:r>
    </w:p>
    <w:p w14:paraId="74215003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социально-экономического развития РФ, субъекта РФ, муниципального района (городского округа) разрабатывается на период не менее трех лет.</w:t>
      </w:r>
    </w:p>
    <w:p w14:paraId="3D077428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послание Президента РФ направляется Федеральному Собранию РФ не позднее марта года, предшествующему очередному финансовому году.</w:t>
      </w:r>
    </w:p>
    <w:p w14:paraId="6200001D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Бюджетном послании Президента РФ определяется бюджетная политика России на очередной финансовый год и плановый период.</w:t>
      </w:r>
    </w:p>
    <w:p w14:paraId="351153B8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и сроки составления проекта федерального бюджета и проектов бюджетов государственных внебюджетных фондов РФ устанавливаются Правительство РФ с соблюдением требований, установленных Бюджетным кодексом РФ.</w:t>
      </w:r>
    </w:p>
    <w:p w14:paraId="74C584FE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показателей прогноза социально-экономического развития РФ, бюджетных проектировок на очередной финансовый год и плановый период и показателей сводного финансового баланса РФ осуществляется комиссией, создаваемой в порядке, установленном Правительством РФ.</w:t>
      </w:r>
    </w:p>
    <w:p w14:paraId="588C0B98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Министерством финансов РФ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РФ в Правительство РФ осуществляется не позднее 15 дней до дня внесения проектов указанных законов в Государственную Думу.</w:t>
      </w:r>
    </w:p>
    <w:p w14:paraId="0FA5A1DC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составления проектов бюджетов субъектов РФ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РФ с соблюдением требований, устанавливаемых Бюджетным кодексом РФ и законами субъектов РФ.</w:t>
      </w:r>
    </w:p>
    <w:p w14:paraId="603F2E04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составления проектов местных бюджетов устанавливаются местными администрациями с соблюдением требований, устанавливаемых Бюджетным кодексом РФ и муниципальными правовыми актами представительных органов муниципальных образований.</w:t>
      </w:r>
    </w:p>
    <w:p w14:paraId="72D53906" w14:textId="77777777" w:rsidR="00F07C28" w:rsidRPr="00C54105" w:rsidRDefault="00F07C28" w:rsidP="00F0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F998C2" w14:textId="77777777" w:rsidR="00F07C28" w:rsidRPr="003D76EA" w:rsidRDefault="00F07C28" w:rsidP="00F0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50AA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Задания на установление соответствия</w:t>
      </w:r>
      <w:r w:rsidRPr="005050AA">
        <w:rPr>
          <w:rFonts w:ascii="Times New Roman" w:hAnsi="Times New Roman" w:cs="Times New Roman"/>
          <w:bCs/>
          <w:sz w:val="28"/>
          <w:szCs w:val="28"/>
          <w:highlight w:val="yellow"/>
        </w:rPr>
        <w:t>:</w:t>
      </w:r>
    </w:p>
    <w:p w14:paraId="1A6634CD" w14:textId="77777777" w:rsidR="000B7210" w:rsidRDefault="000B7210"/>
    <w:p w14:paraId="5E046CB8" w14:textId="77777777" w:rsidR="00F07C28" w:rsidRPr="00F07C28" w:rsidRDefault="00F07C28" w:rsidP="00F07C2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07C28">
        <w:rPr>
          <w:rFonts w:ascii="Times New Roman" w:hAnsi="Times New Roman" w:cs="Times New Roman"/>
          <w:bCs/>
          <w:sz w:val="28"/>
          <w:szCs w:val="28"/>
        </w:rPr>
        <w:t>Соотнесите термины:</w:t>
      </w:r>
    </w:p>
    <w:p w14:paraId="6ACBBD49" w14:textId="77777777" w:rsidR="00F07C28" w:rsidRPr="00F07C28" w:rsidRDefault="00F07C28" w:rsidP="00F07C2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7C28" w:rsidRPr="00F07C28" w14:paraId="4F2A46A6" w14:textId="77777777" w:rsidTr="009F4EB3">
        <w:tc>
          <w:tcPr>
            <w:tcW w:w="4785" w:type="dxa"/>
          </w:tcPr>
          <w:p w14:paraId="25298FAF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1.Налоговые органы</w:t>
            </w:r>
          </w:p>
        </w:tc>
        <w:tc>
          <w:tcPr>
            <w:tcW w:w="4786" w:type="dxa"/>
          </w:tcPr>
          <w:p w14:paraId="4679F149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2.Федеральный орган исполнительной власти, уполномоченный по контролю и надзору в области налогов и сборов, и его территориальные органы</w:t>
            </w:r>
          </w:p>
        </w:tc>
      </w:tr>
      <w:tr w:rsidR="00F07C28" w:rsidRPr="00F07C28" w14:paraId="679AF32E" w14:textId="77777777" w:rsidTr="009F4EB3">
        <w:tc>
          <w:tcPr>
            <w:tcW w:w="4785" w:type="dxa"/>
          </w:tcPr>
          <w:p w14:paraId="23E532EF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2. Таможенные органы</w:t>
            </w:r>
          </w:p>
        </w:tc>
        <w:tc>
          <w:tcPr>
            <w:tcW w:w="4786" w:type="dxa"/>
          </w:tcPr>
          <w:p w14:paraId="2ADFD27E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1.Федеральный орган исполнительной власти, уполномоченный в области таможенного дела, подчиненные ему таможенные органы Российской Федерации</w:t>
            </w:r>
          </w:p>
        </w:tc>
      </w:tr>
    </w:tbl>
    <w:p w14:paraId="3E700986" w14:textId="77777777" w:rsidR="00F07C28" w:rsidRPr="00F07C28" w:rsidRDefault="00F07C28" w:rsidP="00F07C2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6B2A1D0A" w14:textId="77777777" w:rsidR="00F07C28" w:rsidRPr="00F07C28" w:rsidRDefault="00F07C28" w:rsidP="00F07C2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07C28">
        <w:rPr>
          <w:rFonts w:ascii="Times New Roman" w:hAnsi="Times New Roman" w:cs="Times New Roman"/>
          <w:bCs/>
          <w:sz w:val="28"/>
          <w:szCs w:val="28"/>
        </w:rPr>
        <w:t>Соотнесите термины:</w:t>
      </w:r>
    </w:p>
    <w:p w14:paraId="49A8EDC9" w14:textId="77777777" w:rsidR="00F07C28" w:rsidRPr="00F07C28" w:rsidRDefault="00F07C28" w:rsidP="00F07C2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7C28" w:rsidRPr="00F07C28" w14:paraId="5BB35283" w14:textId="77777777" w:rsidTr="009F4EB3">
        <w:tc>
          <w:tcPr>
            <w:tcW w:w="4785" w:type="dxa"/>
          </w:tcPr>
          <w:p w14:paraId="70B71A3F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1.Физические лица</w:t>
            </w:r>
          </w:p>
        </w:tc>
        <w:tc>
          <w:tcPr>
            <w:tcW w:w="4786" w:type="dxa"/>
          </w:tcPr>
          <w:p w14:paraId="3B76E81C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3.Коммерческие банки и другие кредитные организации, имеющие лицензию Центрального банка Российской Федерации</w:t>
            </w:r>
          </w:p>
        </w:tc>
      </w:tr>
      <w:tr w:rsidR="00F07C28" w:rsidRPr="00F07C28" w14:paraId="5AD2F39A" w14:textId="77777777" w:rsidTr="009F4EB3">
        <w:tc>
          <w:tcPr>
            <w:tcW w:w="4785" w:type="dxa"/>
          </w:tcPr>
          <w:p w14:paraId="09714B5A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F07C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рганизации</w:t>
            </w:r>
          </w:p>
        </w:tc>
        <w:tc>
          <w:tcPr>
            <w:tcW w:w="4786" w:type="dxa"/>
          </w:tcPr>
          <w:p w14:paraId="5A64746A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4.Иностранные фондовые биржи и иностранные </w:t>
            </w:r>
            <w:proofErr w:type="spellStart"/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депозитарно</w:t>
            </w:r>
            <w:proofErr w:type="spellEnd"/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-клиринговые организации, включенные в перечень, утверждаемый Центральным банком Российской Федерации по согласованию с Министерством финансов Российской Федерации</w:t>
            </w:r>
          </w:p>
        </w:tc>
      </w:tr>
      <w:tr w:rsidR="00F07C28" w:rsidRPr="00F07C28" w14:paraId="4088A973" w14:textId="77777777" w:rsidTr="009F4EB3">
        <w:tc>
          <w:tcPr>
            <w:tcW w:w="4785" w:type="dxa"/>
          </w:tcPr>
          <w:p w14:paraId="69D846C4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3.Банки</w:t>
            </w:r>
          </w:p>
        </w:tc>
        <w:tc>
          <w:tcPr>
            <w:tcW w:w="4786" w:type="dxa"/>
          </w:tcPr>
          <w:p w14:paraId="291FB5A8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1.Граждане Российской Федерации, иностранные граждане и лица без гражданства</w:t>
            </w:r>
          </w:p>
        </w:tc>
      </w:tr>
      <w:tr w:rsidR="00F07C28" w:rsidRPr="00F07C28" w14:paraId="6AC528A1" w14:textId="77777777" w:rsidTr="009F4EB3">
        <w:tc>
          <w:tcPr>
            <w:tcW w:w="4785" w:type="dxa"/>
          </w:tcPr>
          <w:p w14:paraId="55D97C30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4.Иностранные финансовые посредники</w:t>
            </w:r>
          </w:p>
        </w:tc>
        <w:tc>
          <w:tcPr>
            <w:tcW w:w="4786" w:type="dxa"/>
          </w:tcPr>
          <w:p w14:paraId="137E2E5C" w14:textId="77777777" w:rsidR="00F07C28" w:rsidRPr="00F07C28" w:rsidRDefault="00F07C28" w:rsidP="009F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28">
              <w:rPr>
                <w:rFonts w:ascii="Times New Roman" w:hAnsi="Times New Roman" w:cs="Times New Roman"/>
                <w:bCs/>
                <w:sz w:val="28"/>
                <w:szCs w:val="28"/>
              </w:rPr>
              <w:t>2. Юридические лица, образованные в соответствии с законодательством Российской Федерации, а также иностранные юридические лица, компании и другие корпоративные образования, обладающие гражданской правоспособностью, созданные в соответствии с законодательством иностранных государств, международные организации, филиалы и представительства указанных иностранных лиц и международных организаций, созданные на территории Российской Федерации</w:t>
            </w:r>
          </w:p>
        </w:tc>
      </w:tr>
    </w:tbl>
    <w:p w14:paraId="28B4A4F2" w14:textId="77777777" w:rsidR="00F07C28" w:rsidRDefault="00F07C28">
      <w:pPr>
        <w:rPr>
          <w:rFonts w:ascii="Times New Roman" w:hAnsi="Times New Roman" w:cs="Times New Roman"/>
          <w:sz w:val="28"/>
          <w:szCs w:val="28"/>
        </w:rPr>
      </w:pPr>
    </w:p>
    <w:p w14:paraId="3528A684" w14:textId="77777777" w:rsidR="00DE5B43" w:rsidRDefault="00DE5B43">
      <w:pPr>
        <w:rPr>
          <w:rFonts w:ascii="Times New Roman" w:hAnsi="Times New Roman" w:cs="Times New Roman"/>
          <w:sz w:val="28"/>
          <w:szCs w:val="28"/>
        </w:rPr>
      </w:pPr>
    </w:p>
    <w:p w14:paraId="7388DE2E" w14:textId="77777777" w:rsidR="004E4953" w:rsidRDefault="004E4953">
      <w:pPr>
        <w:rPr>
          <w:rFonts w:ascii="Times New Roman" w:hAnsi="Times New Roman" w:cs="Times New Roman"/>
          <w:sz w:val="28"/>
          <w:szCs w:val="28"/>
        </w:rPr>
      </w:pPr>
    </w:p>
    <w:p w14:paraId="64C08ECF" w14:textId="77777777" w:rsidR="00DE5B43" w:rsidRDefault="00DE5B43" w:rsidP="00DE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37E08" w14:textId="77777777" w:rsidR="00DE5B43" w:rsidRDefault="00DE5B43" w:rsidP="00DE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6C2C9" w14:textId="77777777" w:rsidR="00DE5B43" w:rsidRDefault="00DE5B43" w:rsidP="00DE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1B769B" w14:textId="77777777" w:rsidR="00DE5B43" w:rsidRDefault="00DE5B43" w:rsidP="00DE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1ED20" w14:textId="77777777" w:rsidR="00DE5B43" w:rsidRDefault="00DE5B43" w:rsidP="00DE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2D625" w14:textId="77777777" w:rsidR="00DE5B43" w:rsidRDefault="00DE5B43" w:rsidP="00DE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5B43" w:rsidSect="000B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7230D"/>
    <w:multiLevelType w:val="hybridMultilevel"/>
    <w:tmpl w:val="CD6C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28"/>
    <w:rsid w:val="000B7210"/>
    <w:rsid w:val="004E4953"/>
    <w:rsid w:val="005050AA"/>
    <w:rsid w:val="009E5667"/>
    <w:rsid w:val="00DB415F"/>
    <w:rsid w:val="00DE5B43"/>
    <w:rsid w:val="00F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88A1"/>
  <w15:docId w15:val="{FE333C1A-4091-49A3-9765-E3DD62CD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F0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2020-03-26T11:57:00Z</dcterms:created>
  <dcterms:modified xsi:type="dcterms:W3CDTF">2020-03-27T07:53:00Z</dcterms:modified>
</cp:coreProperties>
</file>